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546AF" w14:textId="77777777" w:rsidR="005969AC" w:rsidRPr="004E4C8E" w:rsidRDefault="005969AC" w:rsidP="004E4C8E">
      <w:pPr>
        <w:spacing w:before="100" w:beforeAutospacing="1" w:after="100" w:afterAutospacing="1" w:line="240" w:lineRule="auto"/>
        <w:jc w:val="both"/>
        <w:rPr>
          <w:rFonts w:cstheme="minorHAnsi"/>
          <w:b/>
          <w:bCs/>
          <w:spacing w:val="4"/>
        </w:rPr>
      </w:pPr>
      <w:bookmarkStart w:id="0" w:name="_GoBack"/>
      <w:bookmarkEnd w:id="0"/>
    </w:p>
    <w:p w14:paraId="484585CF" w14:textId="134F0B8E" w:rsidR="00F576CD" w:rsidRPr="004E4C8E" w:rsidRDefault="00991E9F" w:rsidP="004E4C8E">
      <w:pPr>
        <w:spacing w:before="100" w:beforeAutospacing="1" w:after="100" w:afterAutospacing="1" w:line="240" w:lineRule="auto"/>
        <w:jc w:val="both"/>
        <w:rPr>
          <w:rFonts w:cstheme="minorHAnsi"/>
          <w:b/>
          <w:bCs/>
          <w:spacing w:val="4"/>
        </w:rPr>
      </w:pPr>
      <w:r w:rsidRPr="004E4C8E">
        <w:rPr>
          <w:rFonts w:cstheme="minorHAnsi"/>
          <w:b/>
          <w:bCs/>
          <w:spacing w:val="4"/>
        </w:rPr>
        <w:t>I</w:t>
      </w:r>
      <w:r w:rsidR="00F22417" w:rsidRPr="004E4C8E">
        <w:rPr>
          <w:rFonts w:cstheme="minorHAnsi"/>
          <w:b/>
          <w:bCs/>
          <w:spacing w:val="4"/>
        </w:rPr>
        <w:t xml:space="preserve">nternational Disability Alliance submission </w:t>
      </w:r>
      <w:r w:rsidRPr="004E4C8E">
        <w:rPr>
          <w:rFonts w:cstheme="minorHAnsi"/>
          <w:b/>
          <w:bCs/>
          <w:spacing w:val="4"/>
        </w:rPr>
        <w:t>for OHCHR thematic report on</w:t>
      </w:r>
      <w:r w:rsidR="005969AC" w:rsidRPr="004E4C8E">
        <w:rPr>
          <w:rFonts w:cstheme="minorHAnsi"/>
          <w:b/>
          <w:bCs/>
          <w:spacing w:val="4"/>
        </w:rPr>
        <w:t>:</w:t>
      </w:r>
      <w:r w:rsidRPr="004E4C8E">
        <w:rPr>
          <w:rFonts w:cstheme="minorHAnsi"/>
          <w:b/>
          <w:bCs/>
          <w:spacing w:val="4"/>
        </w:rPr>
        <w:t xml:space="preserve"> ‘Support systems to ensure community inclusion of persons with disabilities, including as a means of building forward better after the COVID-19 pandemic’</w:t>
      </w:r>
    </w:p>
    <w:p w14:paraId="2EFEB0F5" w14:textId="2AE72B1E" w:rsidR="00C1255E" w:rsidRPr="004E4C8E" w:rsidRDefault="00F576CD" w:rsidP="004E4C8E">
      <w:pPr>
        <w:spacing w:before="100" w:beforeAutospacing="1" w:after="100" w:afterAutospacing="1" w:line="240" w:lineRule="auto"/>
        <w:jc w:val="both"/>
        <w:rPr>
          <w:rFonts w:eastAsia="Times New Roman" w:cstheme="minorHAnsi"/>
          <w:lang w:val="en-GB" w:eastAsia="en-GB"/>
        </w:rPr>
      </w:pPr>
      <w:r w:rsidRPr="004E4C8E">
        <w:rPr>
          <w:rFonts w:eastAsia="Times New Roman" w:cstheme="minorHAnsi"/>
          <w:lang w:val="en-GB" w:eastAsia="en-GB"/>
        </w:rPr>
        <w:t>The International Disability Alliance welcomes the opportunity to provide inputs to the first of two thematic reports mandated by Human Rights Council resolution 49/12, on ‘</w:t>
      </w:r>
      <w:r w:rsidRPr="004E4C8E">
        <w:rPr>
          <w:rFonts w:cstheme="minorHAnsi"/>
          <w:spacing w:val="4"/>
        </w:rPr>
        <w:t>Support systems to ensure community inclusion of persons with disabilities</w:t>
      </w:r>
      <w:r w:rsidRPr="004E4C8E">
        <w:rPr>
          <w:rFonts w:eastAsia="Times New Roman" w:cstheme="minorHAnsi"/>
          <w:lang w:val="en-GB" w:eastAsia="en-GB"/>
        </w:rPr>
        <w:t>’</w:t>
      </w:r>
      <w:r w:rsidR="00C1255E" w:rsidRPr="004E4C8E">
        <w:rPr>
          <w:rFonts w:eastAsia="Times New Roman" w:cstheme="minorHAnsi"/>
          <w:lang w:val="en-GB" w:eastAsia="en-GB"/>
        </w:rPr>
        <w:t xml:space="preserve">, and would like to provide the following observations for OHCHR’s consideration: </w:t>
      </w:r>
    </w:p>
    <w:p w14:paraId="55D2CEA9" w14:textId="435F02E4" w:rsidR="00F576CD" w:rsidRPr="004E4C8E" w:rsidRDefault="00F576CD" w:rsidP="004E4C8E">
      <w:pPr>
        <w:spacing w:before="100" w:beforeAutospacing="1" w:after="100" w:afterAutospacing="1" w:line="240" w:lineRule="auto"/>
        <w:jc w:val="both"/>
        <w:rPr>
          <w:rFonts w:eastAsia="Times New Roman" w:cstheme="minorHAnsi"/>
          <w:lang w:val="en-GB" w:eastAsia="en-GB"/>
        </w:rPr>
      </w:pPr>
      <w:r w:rsidRPr="004E4C8E">
        <w:rPr>
          <w:rFonts w:eastAsia="Times New Roman" w:cstheme="minorHAnsi"/>
          <w:lang w:val="en-GB" w:eastAsia="en-GB"/>
        </w:rPr>
        <w:t>We share the objective and perspective outlined in the background note, that “</w:t>
      </w:r>
      <w:r w:rsidRPr="004E4C8E">
        <w:rPr>
          <w:rFonts w:eastAsia="Times New Roman" w:cstheme="minorHAnsi"/>
          <w:i/>
          <w:iCs/>
          <w:lang w:val="en-GB" w:eastAsia="en-GB"/>
        </w:rPr>
        <w:t xml:space="preserve">Full inclusion of persons with disabilities, of all ages, requires ensuring the necessary care and support systems to live independently in their communities” </w:t>
      </w:r>
      <w:r w:rsidRPr="004E4C8E">
        <w:rPr>
          <w:rFonts w:eastAsia="Times New Roman" w:cstheme="minorHAnsi"/>
          <w:lang w:val="en-GB" w:eastAsia="en-GB"/>
        </w:rPr>
        <w:t>and this is to be achieved through:</w:t>
      </w:r>
      <w:r w:rsidRPr="004E4C8E">
        <w:rPr>
          <w:rFonts w:eastAsia="Times New Roman" w:cstheme="minorHAnsi"/>
          <w:i/>
          <w:iCs/>
          <w:lang w:val="en-GB" w:eastAsia="en-GB"/>
        </w:rPr>
        <w:t xml:space="preserve"> “social protection covering support extra costs, human support, assistive technologies &amp; products, transportation, individualized housing support, legal capacity supports, and other community-based support systems to prevent institutionalization”.</w:t>
      </w:r>
    </w:p>
    <w:p w14:paraId="267BA360" w14:textId="30310066" w:rsidR="00005814" w:rsidRPr="004E4C8E" w:rsidRDefault="00005814" w:rsidP="004E4C8E">
      <w:pPr>
        <w:spacing w:before="100" w:beforeAutospacing="1" w:after="100" w:afterAutospacing="1" w:line="240" w:lineRule="auto"/>
        <w:jc w:val="both"/>
        <w:rPr>
          <w:rFonts w:eastAsia="Times New Roman" w:cstheme="minorHAnsi"/>
          <w:b/>
          <w:bCs/>
          <w:lang w:val="en-GB" w:eastAsia="en-GB"/>
        </w:rPr>
      </w:pPr>
      <w:r w:rsidRPr="004E4C8E">
        <w:rPr>
          <w:rFonts w:eastAsia="Times New Roman" w:cstheme="minorHAnsi"/>
          <w:b/>
          <w:bCs/>
          <w:lang w:val="en-GB" w:eastAsia="en-GB"/>
        </w:rPr>
        <w:t xml:space="preserve">Convention on the Rights of Persons with Disabilities </w:t>
      </w:r>
    </w:p>
    <w:p w14:paraId="02C417F7" w14:textId="77777777" w:rsidR="00CF5930" w:rsidRPr="004E4C8E" w:rsidRDefault="00C1255E" w:rsidP="004E4C8E">
      <w:pPr>
        <w:spacing w:before="100" w:beforeAutospacing="1" w:after="100" w:afterAutospacing="1" w:line="240" w:lineRule="auto"/>
        <w:jc w:val="both"/>
        <w:rPr>
          <w:rFonts w:eastAsia="Times New Roman" w:cstheme="minorHAnsi"/>
          <w:lang w:val="en-GB" w:eastAsia="en-GB"/>
        </w:rPr>
      </w:pPr>
      <w:r w:rsidRPr="004E4C8E">
        <w:rPr>
          <w:rFonts w:eastAsia="Times New Roman" w:cstheme="minorHAnsi"/>
          <w:lang w:val="en-GB" w:eastAsia="en-GB"/>
        </w:rPr>
        <w:t>The CRPD is the framework for community</w:t>
      </w:r>
      <w:r w:rsidR="002C7CCE" w:rsidRPr="004E4C8E">
        <w:rPr>
          <w:rFonts w:eastAsia="Times New Roman" w:cstheme="minorHAnsi"/>
          <w:lang w:val="en-GB" w:eastAsia="en-GB"/>
        </w:rPr>
        <w:t xml:space="preserve"> </w:t>
      </w:r>
      <w:r w:rsidRPr="004E4C8E">
        <w:rPr>
          <w:rFonts w:eastAsia="Times New Roman" w:cstheme="minorHAnsi"/>
          <w:lang w:val="en-GB" w:eastAsia="en-GB"/>
        </w:rPr>
        <w:t>inclusion for persons with disabilities</w:t>
      </w:r>
      <w:r w:rsidR="002C7CCE" w:rsidRPr="004E4C8E">
        <w:rPr>
          <w:rFonts w:eastAsia="Times New Roman" w:cstheme="minorHAnsi"/>
          <w:lang w:val="en-GB" w:eastAsia="en-GB"/>
        </w:rPr>
        <w:t xml:space="preserve"> (Articles 1, 3, 4, 19), </w:t>
      </w:r>
      <w:r w:rsidRPr="004E4C8E">
        <w:rPr>
          <w:rFonts w:cstheme="minorHAnsi"/>
          <w:spacing w:val="4"/>
        </w:rPr>
        <w:t>and we consider that Article 19(b)</w:t>
      </w:r>
      <w:r w:rsidR="00371AD7" w:rsidRPr="004E4C8E">
        <w:rPr>
          <w:rFonts w:cstheme="minorHAnsi"/>
          <w:spacing w:val="4"/>
        </w:rPr>
        <w:t xml:space="preserve"> and (c)</w:t>
      </w:r>
      <w:r w:rsidRPr="004E4C8E">
        <w:rPr>
          <w:rFonts w:cstheme="minorHAnsi"/>
          <w:spacing w:val="4"/>
        </w:rPr>
        <w:t xml:space="preserve"> of the CRPD </w:t>
      </w:r>
      <w:r w:rsidR="00E438F9" w:rsidRPr="004E4C8E">
        <w:rPr>
          <w:rFonts w:cstheme="minorHAnsi"/>
          <w:spacing w:val="4"/>
        </w:rPr>
        <w:t>should be the</w:t>
      </w:r>
      <w:r w:rsidRPr="004E4C8E">
        <w:rPr>
          <w:rFonts w:cstheme="minorHAnsi"/>
          <w:spacing w:val="4"/>
        </w:rPr>
        <w:t xml:space="preserve"> foundation </w:t>
      </w:r>
      <w:r w:rsidR="00E438F9" w:rsidRPr="004E4C8E">
        <w:rPr>
          <w:rFonts w:cstheme="minorHAnsi"/>
          <w:spacing w:val="4"/>
        </w:rPr>
        <w:t>for</w:t>
      </w:r>
      <w:r w:rsidRPr="004E4C8E">
        <w:rPr>
          <w:rFonts w:cstheme="minorHAnsi"/>
          <w:spacing w:val="4"/>
        </w:rPr>
        <w:t xml:space="preserve"> this thematic report</w:t>
      </w:r>
      <w:r w:rsidR="00E438F9" w:rsidRPr="004E4C8E">
        <w:rPr>
          <w:rFonts w:cstheme="minorHAnsi"/>
          <w:spacing w:val="4"/>
        </w:rPr>
        <w:t xml:space="preserve">, as interpreted by </w:t>
      </w:r>
      <w:r w:rsidRPr="004E4C8E">
        <w:rPr>
          <w:rFonts w:cstheme="minorHAnsi"/>
          <w:spacing w:val="4"/>
        </w:rPr>
        <w:t>the CRPD Committee in General Comment No. 5 on Article 19</w:t>
      </w:r>
      <w:r w:rsidR="00E438F9" w:rsidRPr="004E4C8E">
        <w:rPr>
          <w:rFonts w:cstheme="minorHAnsi"/>
          <w:spacing w:val="4"/>
        </w:rPr>
        <w:t xml:space="preserve"> (2017), in particular paras 28 – 30. </w:t>
      </w:r>
      <w:r w:rsidR="00F93502" w:rsidRPr="004E4C8E">
        <w:rPr>
          <w:rFonts w:eastAsia="Times New Roman" w:cstheme="minorHAnsi"/>
          <w:lang w:val="en-GB" w:eastAsia="en-GB"/>
        </w:rPr>
        <w:t>In addition, many other aspects of the jurisprudence of the CRPD Committee’ are essential building blocks for community support and inclusion, including General Comment No. 1 on Article 12, General Comment No. 6 on Article 5, the Guidance on Article 14, and the draft Guidelines on Deinstitutionalisation (to be adopted by the end of the 27</w:t>
      </w:r>
      <w:r w:rsidR="00F93502" w:rsidRPr="004E4C8E">
        <w:rPr>
          <w:rFonts w:eastAsia="Times New Roman" w:cstheme="minorHAnsi"/>
          <w:vertAlign w:val="superscript"/>
          <w:lang w:val="en-GB" w:eastAsia="en-GB"/>
        </w:rPr>
        <w:t>th</w:t>
      </w:r>
      <w:r w:rsidR="00F93502" w:rsidRPr="004E4C8E">
        <w:rPr>
          <w:rFonts w:eastAsia="Times New Roman" w:cstheme="minorHAnsi"/>
          <w:lang w:val="en-GB" w:eastAsia="en-GB"/>
        </w:rPr>
        <w:t xml:space="preserve"> CRPD Session, 9 September 2022). </w:t>
      </w:r>
      <w:r w:rsidR="00E438F9" w:rsidRPr="004E4C8E">
        <w:rPr>
          <w:rFonts w:cstheme="minorHAnsi"/>
          <w:spacing w:val="4"/>
        </w:rPr>
        <w:t>This</w:t>
      </w:r>
      <w:r w:rsidR="00A4171F" w:rsidRPr="004E4C8E">
        <w:rPr>
          <w:rFonts w:cstheme="minorHAnsi"/>
          <w:spacing w:val="4"/>
        </w:rPr>
        <w:t xml:space="preserve"> thematic </w:t>
      </w:r>
      <w:r w:rsidR="00E438F9" w:rsidRPr="004E4C8E">
        <w:rPr>
          <w:rFonts w:cstheme="minorHAnsi"/>
          <w:spacing w:val="4"/>
        </w:rPr>
        <w:t>report is an excellent opportunity to provide</w:t>
      </w:r>
      <w:r w:rsidR="002C7CCE" w:rsidRPr="004E4C8E">
        <w:rPr>
          <w:rFonts w:cstheme="minorHAnsi"/>
          <w:spacing w:val="4"/>
        </w:rPr>
        <w:t xml:space="preserve"> </w:t>
      </w:r>
      <w:r w:rsidR="00E542C1" w:rsidRPr="004E4C8E">
        <w:rPr>
          <w:rFonts w:eastAsia="Times New Roman" w:cstheme="minorHAnsi"/>
          <w:lang w:val="en-GB" w:eastAsia="en-GB"/>
        </w:rPr>
        <w:t>detailed</w:t>
      </w:r>
      <w:r w:rsidR="002C7CCE" w:rsidRPr="004E4C8E">
        <w:rPr>
          <w:rFonts w:eastAsia="Times New Roman" w:cstheme="minorHAnsi"/>
          <w:lang w:val="en-GB" w:eastAsia="en-GB"/>
        </w:rPr>
        <w:t xml:space="preserve"> and practical</w:t>
      </w:r>
      <w:r w:rsidR="00E542C1" w:rsidRPr="004E4C8E">
        <w:rPr>
          <w:rFonts w:eastAsia="Times New Roman" w:cstheme="minorHAnsi"/>
          <w:lang w:val="en-GB" w:eastAsia="en-GB"/>
        </w:rPr>
        <w:t xml:space="preserve"> </w:t>
      </w:r>
      <w:r w:rsidR="00E542C1" w:rsidRPr="004E4C8E">
        <w:rPr>
          <w:rFonts w:eastAsia="Times New Roman" w:cstheme="minorHAnsi"/>
          <w:bdr w:val="none" w:sz="0" w:space="0" w:color="auto" w:frame="1"/>
        </w:rPr>
        <w:t>guidance for States on</w:t>
      </w:r>
      <w:r w:rsidR="00E438F9" w:rsidRPr="004E4C8E">
        <w:rPr>
          <w:rFonts w:eastAsia="Times New Roman" w:cstheme="minorHAnsi"/>
          <w:bdr w:val="none" w:sz="0" w:space="0" w:color="auto" w:frame="1"/>
        </w:rPr>
        <w:t xml:space="preserve"> how to implement Article 19(b)</w:t>
      </w:r>
      <w:r w:rsidR="00371AD7" w:rsidRPr="004E4C8E">
        <w:rPr>
          <w:rFonts w:eastAsia="Times New Roman" w:cstheme="minorHAnsi"/>
          <w:bdr w:val="none" w:sz="0" w:space="0" w:color="auto" w:frame="1"/>
        </w:rPr>
        <w:t xml:space="preserve"> and (c)</w:t>
      </w:r>
      <w:r w:rsidR="002C7CCE" w:rsidRPr="004E4C8E">
        <w:rPr>
          <w:rFonts w:eastAsia="Times New Roman" w:cstheme="minorHAnsi"/>
          <w:bdr w:val="none" w:sz="0" w:space="0" w:color="auto" w:frame="1"/>
        </w:rPr>
        <w:t>, including by developing</w:t>
      </w:r>
      <w:r w:rsidR="00E542C1" w:rsidRPr="004E4C8E">
        <w:rPr>
          <w:rFonts w:eastAsia="Times New Roman" w:cstheme="minorHAnsi"/>
          <w:b/>
          <w:bCs/>
          <w:bdr w:val="none" w:sz="0" w:space="0" w:color="auto" w:frame="1"/>
        </w:rPr>
        <w:t xml:space="preserve"> </w:t>
      </w:r>
      <w:r w:rsidR="00E542C1" w:rsidRPr="004E4C8E">
        <w:rPr>
          <w:rFonts w:eastAsia="Times New Roman" w:cstheme="minorHAnsi"/>
          <w:bdr w:val="none" w:sz="0" w:space="0" w:color="auto" w:frame="1"/>
        </w:rPr>
        <w:t xml:space="preserve">pathways for </w:t>
      </w:r>
      <w:r w:rsidR="002C7CCE" w:rsidRPr="004E4C8E">
        <w:rPr>
          <w:rFonts w:eastAsia="Times New Roman" w:cstheme="minorHAnsi"/>
          <w:bdr w:val="none" w:sz="0" w:space="0" w:color="auto" w:frame="1"/>
        </w:rPr>
        <w:t xml:space="preserve">human rights-based, </w:t>
      </w:r>
      <w:r w:rsidR="00E542C1" w:rsidRPr="004E4C8E">
        <w:rPr>
          <w:rFonts w:cstheme="minorHAnsi"/>
        </w:rPr>
        <w:t xml:space="preserve">gender </w:t>
      </w:r>
      <w:r w:rsidR="002C7CCE" w:rsidRPr="004E4C8E">
        <w:rPr>
          <w:rFonts w:cstheme="minorHAnsi"/>
        </w:rPr>
        <w:t xml:space="preserve">and disability </w:t>
      </w:r>
      <w:r w:rsidR="00E542C1" w:rsidRPr="004E4C8E">
        <w:rPr>
          <w:rFonts w:cstheme="minorHAnsi"/>
        </w:rPr>
        <w:t>responsive care and support systems enabling community inclusion of persons with disabilities across the life cycle in different contexts</w:t>
      </w:r>
      <w:r w:rsidR="0080380E" w:rsidRPr="004E4C8E">
        <w:rPr>
          <w:rFonts w:cstheme="minorHAnsi"/>
        </w:rPr>
        <w:t xml:space="preserve">. </w:t>
      </w:r>
    </w:p>
    <w:p w14:paraId="37D81235" w14:textId="77777777" w:rsidR="00CF5930" w:rsidRPr="004E4C8E" w:rsidRDefault="00CF5930" w:rsidP="004E4C8E">
      <w:pPr>
        <w:spacing w:before="100" w:beforeAutospacing="1" w:after="100" w:afterAutospacing="1" w:line="240" w:lineRule="auto"/>
        <w:jc w:val="both"/>
        <w:rPr>
          <w:rFonts w:eastAsia="Times New Roman" w:cstheme="minorHAnsi"/>
          <w:b/>
          <w:bCs/>
          <w:lang w:val="en-GB" w:eastAsia="en-GB"/>
        </w:rPr>
      </w:pPr>
      <w:r w:rsidRPr="004E4C8E">
        <w:rPr>
          <w:rFonts w:eastAsia="Times New Roman" w:cstheme="minorHAnsi"/>
          <w:b/>
          <w:bCs/>
          <w:lang w:val="en-GB" w:eastAsia="en-GB"/>
        </w:rPr>
        <w:t xml:space="preserve">Views of Organizations of Persons with Disabilities </w:t>
      </w:r>
    </w:p>
    <w:p w14:paraId="773F4CED" w14:textId="574AA82E" w:rsidR="00CF5930" w:rsidRPr="004E4C8E" w:rsidRDefault="00CF5930" w:rsidP="004E4C8E">
      <w:pPr>
        <w:jc w:val="both"/>
        <w:rPr>
          <w:rFonts w:eastAsia="Times New Roman" w:cstheme="minorHAnsi"/>
          <w:bdr w:val="none" w:sz="0" w:space="0" w:color="auto" w:frame="1"/>
        </w:rPr>
      </w:pPr>
      <w:r w:rsidRPr="004E4C8E">
        <w:rPr>
          <w:rFonts w:eastAsia="Times New Roman" w:cstheme="minorHAnsi"/>
          <w:bdr w:val="none" w:sz="0" w:space="0" w:color="auto" w:frame="1"/>
        </w:rPr>
        <w:t xml:space="preserve">It is essential that the call for strengthened efforts to ensure community inclusion of persons with disabilities is supported by a detailed articulation of the demand from the diversity of persons with disabilities, through their </w:t>
      </w:r>
      <w:r w:rsidRPr="004E4C8E">
        <w:rPr>
          <w:rFonts w:eastAsia="Times New Roman" w:cstheme="minorHAnsi"/>
          <w:bdr w:val="none" w:sz="0" w:space="0" w:color="auto" w:frame="1"/>
        </w:rPr>
        <w:lastRenderedPageBreak/>
        <w:t>representative organizations</w:t>
      </w:r>
      <w:r w:rsidR="00BE7C57" w:rsidRPr="004E4C8E">
        <w:rPr>
          <w:rFonts w:eastAsia="Times New Roman" w:cstheme="minorHAnsi"/>
          <w:bdr w:val="none" w:sz="0" w:space="0" w:color="auto" w:frame="1"/>
        </w:rPr>
        <w:t>, so that we can fully understand how the necessary change should take place</w:t>
      </w:r>
      <w:r w:rsidRPr="004E4C8E">
        <w:rPr>
          <w:rFonts w:eastAsia="Times New Roman" w:cstheme="minorHAnsi"/>
          <w:bdr w:val="none" w:sz="0" w:space="0" w:color="auto" w:frame="1"/>
        </w:rPr>
        <w:t>. This could require regular and ongoing or permanent consultation with OPDs to fully understand what is meant when talking about ‘support services’ from their perspective, recognizing also that the demand side will depend on local contexts and will change over time. This will help ensure that the precise parameters and contour of the legal and policy measures proposed reflect the priorities, perspectives and needs of persons with disabilities. Holding thorough and meaningful consultations will have financial implications, but will help ensure the robustness and effectiveness of law and policy reform. Initial consultation process</w:t>
      </w:r>
      <w:r w:rsidR="00133DDB" w:rsidRPr="004E4C8E">
        <w:rPr>
          <w:rFonts w:eastAsia="Times New Roman" w:cstheme="minorHAnsi"/>
          <w:bdr w:val="none" w:sz="0" w:space="0" w:color="auto" w:frame="1"/>
        </w:rPr>
        <w:t>es</w:t>
      </w:r>
      <w:r w:rsidRPr="004E4C8E">
        <w:rPr>
          <w:rFonts w:eastAsia="Times New Roman" w:cstheme="minorHAnsi"/>
          <w:bdr w:val="none" w:sz="0" w:space="0" w:color="auto" w:frame="1"/>
        </w:rPr>
        <w:t xml:space="preserve"> could cover the following areas: </w:t>
      </w:r>
    </w:p>
    <w:p w14:paraId="5277107D" w14:textId="77777777" w:rsidR="00CF5930" w:rsidRPr="004E4C8E" w:rsidRDefault="00CF5930" w:rsidP="004E4C8E">
      <w:pPr>
        <w:pStyle w:val="ListParagraph"/>
        <w:numPr>
          <w:ilvl w:val="0"/>
          <w:numId w:val="9"/>
        </w:numPr>
        <w:jc w:val="both"/>
        <w:rPr>
          <w:rFonts w:asciiTheme="minorHAnsi" w:eastAsia="Times New Roman" w:hAnsiTheme="minorHAnsi" w:cstheme="minorHAnsi"/>
          <w:sz w:val="22"/>
          <w:szCs w:val="22"/>
          <w:bdr w:val="none" w:sz="0" w:space="0" w:color="auto" w:frame="1"/>
        </w:rPr>
      </w:pPr>
      <w:r w:rsidRPr="004E4C8E">
        <w:rPr>
          <w:rFonts w:asciiTheme="minorHAnsi" w:eastAsia="Times New Roman" w:hAnsiTheme="minorHAnsi" w:cstheme="minorHAnsi"/>
          <w:sz w:val="22"/>
          <w:szCs w:val="22"/>
          <w:bdr w:val="none" w:sz="0" w:space="0" w:color="auto" w:frame="1"/>
        </w:rPr>
        <w:t xml:space="preserve">Analyse what support is available/missing, what is effective, what should change and how this change should be undertaken. </w:t>
      </w:r>
    </w:p>
    <w:p w14:paraId="3CC076EF" w14:textId="77777777" w:rsidR="00CF5930" w:rsidRPr="004E4C8E" w:rsidRDefault="00CF5930" w:rsidP="004E4C8E">
      <w:pPr>
        <w:pStyle w:val="ListParagraph"/>
        <w:numPr>
          <w:ilvl w:val="0"/>
          <w:numId w:val="9"/>
        </w:numPr>
        <w:jc w:val="both"/>
        <w:rPr>
          <w:rFonts w:asciiTheme="minorHAnsi" w:eastAsia="Times New Roman" w:hAnsiTheme="minorHAnsi" w:cstheme="minorHAnsi"/>
          <w:sz w:val="22"/>
          <w:szCs w:val="22"/>
          <w:bdr w:val="none" w:sz="0" w:space="0" w:color="auto" w:frame="1"/>
        </w:rPr>
      </w:pPr>
      <w:r w:rsidRPr="004E4C8E">
        <w:rPr>
          <w:rFonts w:asciiTheme="minorHAnsi" w:eastAsia="Times New Roman" w:hAnsiTheme="minorHAnsi" w:cstheme="minorHAnsi"/>
          <w:sz w:val="22"/>
          <w:szCs w:val="22"/>
          <w:bdr w:val="none" w:sz="0" w:space="0" w:color="auto" w:frame="1"/>
        </w:rPr>
        <w:t xml:space="preserve">Assess individualized support services for participation and inclusion (human assistance, housing and resettlement, assistive technology, transportation etc.) </w:t>
      </w:r>
    </w:p>
    <w:p w14:paraId="0C57E8AF" w14:textId="2F84C734" w:rsidR="00CF5930" w:rsidRPr="004E4C8E" w:rsidRDefault="00CF5930" w:rsidP="004E4C8E">
      <w:pPr>
        <w:pStyle w:val="ListParagraph"/>
        <w:numPr>
          <w:ilvl w:val="0"/>
          <w:numId w:val="9"/>
        </w:numPr>
        <w:jc w:val="both"/>
        <w:rPr>
          <w:rFonts w:asciiTheme="minorHAnsi" w:eastAsia="Times New Roman" w:hAnsiTheme="minorHAnsi" w:cstheme="minorHAnsi"/>
          <w:sz w:val="22"/>
          <w:szCs w:val="22"/>
          <w:bdr w:val="none" w:sz="0" w:space="0" w:color="auto" w:frame="1"/>
        </w:rPr>
      </w:pPr>
      <w:r w:rsidRPr="004E4C8E">
        <w:rPr>
          <w:rFonts w:asciiTheme="minorHAnsi" w:eastAsia="Times New Roman" w:hAnsiTheme="minorHAnsi" w:cstheme="minorHAnsi"/>
          <w:sz w:val="22"/>
          <w:szCs w:val="22"/>
          <w:bdr w:val="none" w:sz="0" w:space="0" w:color="auto" w:frame="1"/>
        </w:rPr>
        <w:t>Review strategies for mobilizing and transforming communities for inclusion (community awareness, creating circle of supports and accountability)</w:t>
      </w:r>
    </w:p>
    <w:p w14:paraId="13DAEC96" w14:textId="3A48AECD" w:rsidR="00CF5930" w:rsidRPr="004E4C8E" w:rsidRDefault="00CF5930" w:rsidP="004E4C8E">
      <w:pPr>
        <w:jc w:val="both"/>
        <w:rPr>
          <w:rFonts w:eastAsia="Times New Roman" w:cstheme="minorHAnsi"/>
          <w:bdr w:val="none" w:sz="0" w:space="0" w:color="auto" w:frame="1"/>
        </w:rPr>
      </w:pPr>
    </w:p>
    <w:p w14:paraId="7E9AEEB2" w14:textId="4EE3E599" w:rsidR="0058531D" w:rsidRPr="004E4C8E" w:rsidRDefault="00C65B54" w:rsidP="004E4C8E">
      <w:pPr>
        <w:spacing w:after="120" w:line="240" w:lineRule="auto"/>
        <w:jc w:val="both"/>
        <w:rPr>
          <w:rFonts w:cstheme="minorHAnsi"/>
          <w:b/>
          <w:bCs/>
        </w:rPr>
      </w:pPr>
      <w:r>
        <w:rPr>
          <w:rFonts w:eastAsia="Times New Roman" w:cstheme="minorHAnsi"/>
          <w:b/>
          <w:bCs/>
          <w:bdr w:val="none" w:sz="0" w:space="0" w:color="auto" w:frame="1"/>
        </w:rPr>
        <w:t>Preliminary observations</w:t>
      </w:r>
      <w:r w:rsidR="00133DDB" w:rsidRPr="004E4C8E">
        <w:rPr>
          <w:rFonts w:eastAsia="Times New Roman" w:cstheme="minorHAnsi"/>
          <w:b/>
          <w:bCs/>
          <w:bdr w:val="none" w:sz="0" w:space="0" w:color="auto" w:frame="1"/>
        </w:rPr>
        <w:t xml:space="preserve"> </w:t>
      </w:r>
      <w:r w:rsidR="009F3153">
        <w:rPr>
          <w:rFonts w:eastAsia="Times New Roman" w:cstheme="minorHAnsi"/>
          <w:b/>
          <w:bCs/>
          <w:bdr w:val="none" w:sz="0" w:space="0" w:color="auto" w:frame="1"/>
        </w:rPr>
        <w:t xml:space="preserve">on </w:t>
      </w:r>
      <w:r w:rsidR="00BE7C57" w:rsidRPr="004E4C8E">
        <w:rPr>
          <w:rFonts w:cstheme="minorHAnsi"/>
          <w:b/>
          <w:bCs/>
        </w:rPr>
        <w:t>s</w:t>
      </w:r>
      <w:r w:rsidR="00FE3382" w:rsidRPr="004E4C8E">
        <w:rPr>
          <w:rFonts w:cstheme="minorHAnsi"/>
          <w:b/>
          <w:bCs/>
        </w:rPr>
        <w:t xml:space="preserve">upport services and care systems </w:t>
      </w:r>
    </w:p>
    <w:p w14:paraId="0D20FC81" w14:textId="77777777" w:rsidR="00586B00" w:rsidRDefault="0058531D" w:rsidP="00586B00">
      <w:pPr>
        <w:spacing w:after="0" w:line="240" w:lineRule="auto"/>
        <w:jc w:val="both"/>
        <w:rPr>
          <w:rFonts w:cstheme="minorHAnsi"/>
        </w:rPr>
      </w:pPr>
      <w:r w:rsidRPr="004E4C8E">
        <w:rPr>
          <w:rFonts w:cstheme="minorHAnsi"/>
        </w:rPr>
        <w:t xml:space="preserve">In all regions, across their life-cycle, millions of persons with disabilities lack the basic support they need to live and participate in their communities. The lack of support is often due to financial barriers, lack of choice </w:t>
      </w:r>
      <w:r w:rsidR="00EB30E6" w:rsidRPr="004E4C8E">
        <w:rPr>
          <w:rFonts w:cstheme="minorHAnsi"/>
        </w:rPr>
        <w:t>creating</w:t>
      </w:r>
      <w:r w:rsidRPr="004E4C8E">
        <w:rPr>
          <w:rFonts w:cstheme="minorHAnsi"/>
        </w:rPr>
        <w:t xml:space="preserve"> reliance on family members, </w:t>
      </w:r>
      <w:r w:rsidR="00FE3382" w:rsidRPr="004E4C8E">
        <w:rPr>
          <w:rFonts w:cstheme="minorHAnsi"/>
        </w:rPr>
        <w:t xml:space="preserve">and </w:t>
      </w:r>
      <w:r w:rsidR="00EB30E6" w:rsidRPr="004E4C8E">
        <w:rPr>
          <w:rFonts w:cstheme="minorHAnsi"/>
        </w:rPr>
        <w:t xml:space="preserve">service </w:t>
      </w:r>
      <w:r w:rsidRPr="004E4C8E">
        <w:rPr>
          <w:rFonts w:cstheme="minorHAnsi"/>
        </w:rPr>
        <w:t xml:space="preserve">provision </w:t>
      </w:r>
      <w:r w:rsidR="00EB30E6" w:rsidRPr="004E4C8E">
        <w:rPr>
          <w:rFonts w:cstheme="minorHAnsi"/>
        </w:rPr>
        <w:t xml:space="preserve">primarily </w:t>
      </w:r>
      <w:r w:rsidRPr="004E4C8E">
        <w:rPr>
          <w:rFonts w:cstheme="minorHAnsi"/>
        </w:rPr>
        <w:t>in segregated and congregate settings</w:t>
      </w:r>
      <w:r w:rsidR="00FE3382" w:rsidRPr="004E4C8E">
        <w:rPr>
          <w:rFonts w:cstheme="minorHAnsi"/>
        </w:rPr>
        <w:t xml:space="preserve">. </w:t>
      </w:r>
      <w:r w:rsidRPr="004E4C8E">
        <w:rPr>
          <w:rFonts w:cstheme="minorHAnsi"/>
        </w:rPr>
        <w:t xml:space="preserve">The COVID 19 pandemic made evident the importance of participation in the community for everyone </w:t>
      </w:r>
      <w:r w:rsidR="00EB30E6" w:rsidRPr="004E4C8E">
        <w:rPr>
          <w:rFonts w:cstheme="minorHAnsi"/>
        </w:rPr>
        <w:t>as well as the significant risks and harm of social exclusion and segregation</w:t>
      </w:r>
      <w:r w:rsidRPr="004E4C8E">
        <w:rPr>
          <w:rFonts w:cstheme="minorHAnsi"/>
        </w:rPr>
        <w:t xml:space="preserve">, especially children, persons with disabilities and older persons. </w:t>
      </w:r>
    </w:p>
    <w:p w14:paraId="42C8E552" w14:textId="77777777" w:rsidR="00586B00" w:rsidRDefault="00586B00" w:rsidP="00586B00">
      <w:pPr>
        <w:spacing w:after="0" w:line="240" w:lineRule="auto"/>
        <w:jc w:val="both"/>
        <w:rPr>
          <w:rStyle w:val="normaltextrun"/>
          <w:rFonts w:cstheme="minorHAnsi"/>
        </w:rPr>
      </w:pPr>
    </w:p>
    <w:p w14:paraId="2E0FC1EB" w14:textId="3CEF48CE" w:rsidR="0058531D" w:rsidRPr="004E4C8E" w:rsidRDefault="00FE3382" w:rsidP="00586B00">
      <w:pPr>
        <w:spacing w:after="0" w:line="240" w:lineRule="auto"/>
        <w:jc w:val="both"/>
        <w:rPr>
          <w:rFonts w:cstheme="minorHAnsi"/>
        </w:rPr>
      </w:pPr>
      <w:r w:rsidRPr="004E4C8E">
        <w:rPr>
          <w:rStyle w:val="normaltextrun"/>
          <w:rFonts w:cstheme="minorHAnsi"/>
        </w:rPr>
        <w:t xml:space="preserve">The COVID-19 pandemic revealed to the world what persons with disabilities have known and experienced for many years – current care and support systems need a fundamental rethink and transformation. </w:t>
      </w:r>
      <w:r w:rsidR="00BE7C57" w:rsidRPr="004E4C8E">
        <w:rPr>
          <w:rStyle w:val="normaltextrun"/>
          <w:rFonts w:cstheme="minorHAnsi"/>
        </w:rPr>
        <w:t>P</w:t>
      </w:r>
      <w:r w:rsidR="0058531D" w:rsidRPr="004E4C8E">
        <w:rPr>
          <w:rStyle w:val="normaltextrun"/>
          <w:rFonts w:cstheme="minorHAnsi"/>
        </w:rPr>
        <w:t>ersons with disabilities as well as their families are suffering under the weight of unsustainable and dysfunctional care and support system, based on patriarchal power imbalance and harmful stereotypes, with the effect that for many or even most, autonomy and independence remain aspirational principles and far from being reality. </w:t>
      </w:r>
      <w:r w:rsidR="0058531D" w:rsidRPr="004E4C8E">
        <w:rPr>
          <w:rStyle w:val="eop"/>
          <w:rFonts w:cstheme="minorHAnsi"/>
        </w:rPr>
        <w:t> </w:t>
      </w:r>
    </w:p>
    <w:p w14:paraId="2D8F2DE9" w14:textId="77777777" w:rsidR="0058531D" w:rsidRPr="004E4C8E" w:rsidRDefault="0058531D" w:rsidP="00586B00">
      <w:pPr>
        <w:pStyle w:val="paragraph"/>
        <w:spacing w:before="0" w:beforeAutospacing="0" w:after="0" w:afterAutospacing="0"/>
        <w:jc w:val="both"/>
        <w:textAlignment w:val="baseline"/>
        <w:rPr>
          <w:rFonts w:asciiTheme="minorHAnsi" w:hAnsiTheme="minorHAnsi" w:cstheme="minorHAnsi"/>
          <w:sz w:val="22"/>
          <w:szCs w:val="22"/>
        </w:rPr>
      </w:pPr>
      <w:r w:rsidRPr="004E4C8E">
        <w:rPr>
          <w:rStyle w:val="eop"/>
          <w:rFonts w:asciiTheme="minorHAnsi" w:hAnsiTheme="minorHAnsi" w:cstheme="minorHAnsi"/>
          <w:sz w:val="22"/>
          <w:szCs w:val="22"/>
        </w:rPr>
        <w:t> </w:t>
      </w:r>
    </w:p>
    <w:p w14:paraId="1645689E" w14:textId="2B9B2CAC" w:rsidR="00CA6B2E" w:rsidRDefault="0058531D" w:rsidP="00586B00">
      <w:pPr>
        <w:spacing w:after="0" w:line="240" w:lineRule="auto"/>
        <w:jc w:val="both"/>
        <w:rPr>
          <w:rStyle w:val="normaltextrun"/>
          <w:rFonts w:cstheme="minorHAnsi"/>
        </w:rPr>
      </w:pPr>
      <w:r w:rsidRPr="004E4C8E">
        <w:rPr>
          <w:rStyle w:val="normaltextrun"/>
          <w:rFonts w:cstheme="minorHAnsi"/>
        </w:rPr>
        <w:t>When families are the sole source of support, the autonomy of persons with disabilities and their family members is reduced. Unpaid familial support affects relationships, income levels and well-being. Women and girls are disproportionately affected by this, as in practice they are the main providers of support within the household. The absence of appropriate support systems increases the risk of segregation and institutionalization, for many it seems like there is no other option. </w:t>
      </w:r>
    </w:p>
    <w:p w14:paraId="3158FAA0" w14:textId="77777777" w:rsidR="00CA6B2E" w:rsidRDefault="00CA6B2E" w:rsidP="00586B00">
      <w:pPr>
        <w:spacing w:after="0" w:line="240" w:lineRule="auto"/>
        <w:jc w:val="both"/>
        <w:rPr>
          <w:rStyle w:val="normaltextrun"/>
          <w:rFonts w:cstheme="minorHAnsi"/>
        </w:rPr>
      </w:pPr>
    </w:p>
    <w:p w14:paraId="48F40D86" w14:textId="56EE82E7" w:rsidR="00CA6B2E" w:rsidRDefault="00133DDB" w:rsidP="00586B00">
      <w:pPr>
        <w:spacing w:after="0" w:line="240" w:lineRule="auto"/>
        <w:jc w:val="both"/>
        <w:rPr>
          <w:rFonts w:eastAsia="Times New Roman" w:cstheme="minorHAnsi"/>
          <w:lang w:val="en-GB" w:eastAsia="en-GB"/>
        </w:rPr>
      </w:pPr>
      <w:r w:rsidRPr="004E4C8E">
        <w:rPr>
          <w:rStyle w:val="eop"/>
          <w:rFonts w:cstheme="minorHAnsi"/>
        </w:rPr>
        <w:t xml:space="preserve">In contrast, </w:t>
      </w:r>
      <w:r w:rsidRPr="004E4C8E">
        <w:rPr>
          <w:rFonts w:cstheme="minorHAnsi"/>
        </w:rPr>
        <w:t>c</w:t>
      </w:r>
      <w:r w:rsidR="0058531D" w:rsidRPr="004E4C8E">
        <w:rPr>
          <w:rFonts w:cstheme="minorHAnsi"/>
        </w:rPr>
        <w:t>ommunity support systems enable inclusion by mobilizing communities and coordinating a diversity of schemes and services (</w:t>
      </w:r>
      <w:r w:rsidR="00D8173A">
        <w:rPr>
          <w:rFonts w:cstheme="minorHAnsi"/>
        </w:rPr>
        <w:t xml:space="preserve">including </w:t>
      </w:r>
      <w:r w:rsidR="0058531D" w:rsidRPr="004E4C8E">
        <w:rPr>
          <w:rFonts w:cstheme="minorHAnsi"/>
        </w:rPr>
        <w:t>cash transfers, housing, assistive products, personal assistance, support in decision making, peer support, family support, interpreters, transpor</w:t>
      </w:r>
      <w:r w:rsidR="00D8173A">
        <w:rPr>
          <w:rFonts w:cstheme="minorHAnsi"/>
        </w:rPr>
        <w:t>t</w:t>
      </w:r>
      <w:r w:rsidR="0058531D" w:rsidRPr="004E4C8E">
        <w:rPr>
          <w:rFonts w:cstheme="minorHAnsi"/>
        </w:rPr>
        <w:t>) which if publicly resourced and organized can be sustainable and contribute to a fairer societal distribution of responsibilities</w:t>
      </w:r>
      <w:r w:rsidR="0058531D" w:rsidRPr="004E4C8E">
        <w:rPr>
          <w:rFonts w:cstheme="minorHAnsi"/>
          <w:i/>
          <w:iCs/>
        </w:rPr>
        <w:t xml:space="preserve">. </w:t>
      </w:r>
      <w:r w:rsidRPr="004E4C8E">
        <w:rPr>
          <w:rFonts w:eastAsia="Times New Roman" w:cstheme="minorHAnsi"/>
          <w:lang w:val="en-GB" w:eastAsia="en-GB"/>
        </w:rPr>
        <w:t xml:space="preserve">Community support systems are essential to overcome exclusion, prevent institutionalization, allow persons with disabilities to live independently in their communities, and improve support to families of persons with disabilities. </w:t>
      </w:r>
    </w:p>
    <w:p w14:paraId="29141738" w14:textId="77777777" w:rsidR="00D8173A" w:rsidRPr="004E4C8E" w:rsidRDefault="00D8173A" w:rsidP="00586B00">
      <w:pPr>
        <w:spacing w:after="0" w:line="240" w:lineRule="auto"/>
        <w:jc w:val="both"/>
        <w:rPr>
          <w:rFonts w:eastAsia="Times New Roman" w:cstheme="minorHAnsi"/>
          <w:lang w:val="en-GB" w:eastAsia="en-GB"/>
        </w:rPr>
      </w:pPr>
    </w:p>
    <w:p w14:paraId="3E0D305C" w14:textId="511B511A" w:rsidR="0058531D" w:rsidRPr="00CA6B2E" w:rsidRDefault="009F3153" w:rsidP="00C9112C">
      <w:pPr>
        <w:spacing w:after="0" w:line="240" w:lineRule="auto"/>
        <w:jc w:val="both"/>
        <w:textAlignment w:val="baseline"/>
        <w:rPr>
          <w:rFonts w:eastAsia="Times New Roman" w:cstheme="minorHAnsi"/>
          <w:lang w:val="en-GB" w:eastAsia="en-GB"/>
        </w:rPr>
      </w:pPr>
      <w:r>
        <w:rPr>
          <w:rFonts w:eastAsia="Times New Roman" w:cstheme="minorHAnsi"/>
          <w:lang w:val="en-GB" w:eastAsia="en-GB"/>
        </w:rPr>
        <w:t>The above points are initial reflections on this important topic, and we look forward to OHCHR’s initial report on ‘</w:t>
      </w:r>
      <w:r w:rsidRPr="004E4C8E">
        <w:rPr>
          <w:rFonts w:cstheme="minorHAnsi"/>
          <w:spacing w:val="4"/>
        </w:rPr>
        <w:t>Support systems to ensure community inclusion of persons with disabilities</w:t>
      </w:r>
      <w:r>
        <w:rPr>
          <w:rFonts w:cstheme="minorHAnsi"/>
          <w:spacing w:val="4"/>
        </w:rPr>
        <w:t xml:space="preserve">’, </w:t>
      </w:r>
      <w:r w:rsidR="00C9112C">
        <w:rPr>
          <w:rFonts w:cstheme="minorHAnsi"/>
          <w:spacing w:val="4"/>
        </w:rPr>
        <w:t>with recommendations for States which</w:t>
      </w:r>
      <w:r w:rsidR="00CA6B2E">
        <w:rPr>
          <w:rFonts w:eastAsia="Times New Roman" w:cstheme="minorHAnsi"/>
          <w:lang w:val="en-GB" w:eastAsia="en-GB"/>
        </w:rPr>
        <w:t xml:space="preserve"> could include, </w:t>
      </w:r>
      <w:r w:rsidR="00CA6B2E">
        <w:rPr>
          <w:rFonts w:eastAsia="Times New Roman" w:cstheme="minorHAnsi"/>
          <w:i/>
          <w:iCs/>
          <w:lang w:val="en-GB" w:eastAsia="en-GB"/>
        </w:rPr>
        <w:t>inter alia</w:t>
      </w:r>
      <w:r w:rsidR="00CA6B2E">
        <w:rPr>
          <w:rFonts w:eastAsia="Times New Roman" w:cstheme="minorHAnsi"/>
          <w:lang w:val="en-GB" w:eastAsia="en-GB"/>
        </w:rPr>
        <w:t xml:space="preserve">: </w:t>
      </w:r>
    </w:p>
    <w:p w14:paraId="1B051211" w14:textId="2C222F28" w:rsidR="0058531D" w:rsidRPr="004E4C8E" w:rsidRDefault="0058531D" w:rsidP="004E4C8E">
      <w:pPr>
        <w:numPr>
          <w:ilvl w:val="0"/>
          <w:numId w:val="8"/>
        </w:numPr>
        <w:spacing w:after="0" w:line="240" w:lineRule="auto"/>
        <w:jc w:val="both"/>
        <w:textAlignment w:val="baseline"/>
        <w:rPr>
          <w:rFonts w:eastAsia="Times New Roman" w:cstheme="minorHAnsi"/>
          <w:lang w:val="en-GB" w:eastAsia="en-GB"/>
        </w:rPr>
      </w:pPr>
      <w:r w:rsidRPr="004E4C8E">
        <w:rPr>
          <w:rFonts w:eastAsia="Times New Roman" w:cstheme="minorHAnsi"/>
          <w:lang w:val="en-GB" w:eastAsia="en-GB"/>
        </w:rPr>
        <w:t>recognition of care and support as a right</w:t>
      </w:r>
    </w:p>
    <w:p w14:paraId="23C6F0AB" w14:textId="3677E899" w:rsidR="0058531D" w:rsidRPr="004E4C8E" w:rsidRDefault="0058531D" w:rsidP="004E4C8E">
      <w:pPr>
        <w:numPr>
          <w:ilvl w:val="0"/>
          <w:numId w:val="8"/>
        </w:numPr>
        <w:spacing w:after="0" w:line="240" w:lineRule="auto"/>
        <w:jc w:val="both"/>
        <w:textAlignment w:val="baseline"/>
        <w:rPr>
          <w:rFonts w:eastAsia="Times New Roman" w:cstheme="minorHAnsi"/>
          <w:lang w:val="en-GB" w:eastAsia="en-GB"/>
        </w:rPr>
      </w:pPr>
      <w:r w:rsidRPr="004E4C8E">
        <w:rPr>
          <w:rFonts w:eastAsia="Times New Roman" w:cstheme="minorHAnsi"/>
          <w:lang w:val="en-GB" w:eastAsia="en-GB"/>
        </w:rPr>
        <w:t>partnerships and community mobilization</w:t>
      </w:r>
    </w:p>
    <w:p w14:paraId="220B877F" w14:textId="29752F83" w:rsidR="0058531D" w:rsidRPr="004E4C8E" w:rsidRDefault="0058531D" w:rsidP="004E4C8E">
      <w:pPr>
        <w:numPr>
          <w:ilvl w:val="0"/>
          <w:numId w:val="8"/>
        </w:numPr>
        <w:spacing w:after="0" w:line="240" w:lineRule="auto"/>
        <w:jc w:val="both"/>
        <w:textAlignment w:val="baseline"/>
        <w:rPr>
          <w:rFonts w:eastAsia="Times New Roman" w:cstheme="minorHAnsi"/>
          <w:lang w:val="en-GB" w:eastAsia="en-GB"/>
        </w:rPr>
      </w:pPr>
      <w:r w:rsidRPr="004E4C8E">
        <w:rPr>
          <w:rFonts w:eastAsia="Times New Roman" w:cstheme="minorHAnsi"/>
          <w:lang w:val="en-GB" w:eastAsia="en-GB"/>
        </w:rPr>
        <w:lastRenderedPageBreak/>
        <w:t>regulation of services and working conditions</w:t>
      </w:r>
    </w:p>
    <w:p w14:paraId="7667ABD8" w14:textId="76BF3FCE" w:rsidR="00EB4318" w:rsidRDefault="0058531D" w:rsidP="004E4C8E">
      <w:pPr>
        <w:numPr>
          <w:ilvl w:val="0"/>
          <w:numId w:val="8"/>
        </w:numPr>
        <w:spacing w:after="0" w:line="240" w:lineRule="auto"/>
        <w:jc w:val="both"/>
        <w:textAlignment w:val="baseline"/>
        <w:rPr>
          <w:rFonts w:eastAsia="Times New Roman" w:cstheme="minorHAnsi"/>
          <w:lang w:val="en-GB" w:eastAsia="en-GB"/>
        </w:rPr>
      </w:pPr>
      <w:r w:rsidRPr="004E4C8E">
        <w:rPr>
          <w:rFonts w:eastAsia="Times New Roman" w:cstheme="minorHAnsi"/>
          <w:lang w:val="en-GB" w:eastAsia="en-GB"/>
        </w:rPr>
        <w:t>creation and expansion of formal services</w:t>
      </w:r>
    </w:p>
    <w:p w14:paraId="6CE05EA6" w14:textId="12B5C0B4" w:rsidR="00CA6B2E" w:rsidRPr="004E4C8E" w:rsidRDefault="00CA6B2E" w:rsidP="00EB7B22">
      <w:pPr>
        <w:spacing w:after="0" w:line="240" w:lineRule="auto"/>
        <w:ind w:left="720"/>
        <w:jc w:val="both"/>
        <w:textAlignment w:val="baseline"/>
        <w:rPr>
          <w:rFonts w:eastAsia="Times New Roman" w:cstheme="minorHAnsi"/>
          <w:lang w:val="en-GB" w:eastAsia="en-GB"/>
        </w:rPr>
      </w:pPr>
      <w:r w:rsidRPr="004E4C8E">
        <w:rPr>
          <w:rFonts w:eastAsia="Times New Roman" w:cstheme="minorHAnsi"/>
          <w:lang w:val="en-GB" w:eastAsia="en-GB"/>
        </w:rPr>
        <w:t>comprehensive policies and intersectoral governance and coordination</w:t>
      </w:r>
    </w:p>
    <w:p w14:paraId="769BFBA4" w14:textId="660F8F9A" w:rsidR="00CA6B2E" w:rsidRPr="004E4C8E" w:rsidRDefault="00CA6B2E" w:rsidP="00CA6B2E">
      <w:pPr>
        <w:numPr>
          <w:ilvl w:val="0"/>
          <w:numId w:val="8"/>
        </w:numPr>
        <w:spacing w:after="0" w:line="240" w:lineRule="auto"/>
        <w:jc w:val="both"/>
        <w:textAlignment w:val="baseline"/>
        <w:rPr>
          <w:rFonts w:eastAsia="Times New Roman" w:cstheme="minorHAnsi"/>
          <w:lang w:val="en-GB" w:eastAsia="en-GB"/>
        </w:rPr>
      </w:pPr>
      <w:r w:rsidRPr="004E4C8E">
        <w:rPr>
          <w:rFonts w:eastAsia="Times New Roman" w:cstheme="minorHAnsi"/>
          <w:lang w:val="en-GB" w:eastAsia="en-GB"/>
        </w:rPr>
        <w:t>investment and financing mechanisms</w:t>
      </w:r>
    </w:p>
    <w:p w14:paraId="10D63C54" w14:textId="68C2BC7B" w:rsidR="004F3AB0" w:rsidRDefault="004F3AB0" w:rsidP="00AC2342">
      <w:pPr>
        <w:spacing w:after="0" w:line="240" w:lineRule="auto"/>
        <w:jc w:val="both"/>
        <w:textAlignment w:val="baseline"/>
        <w:rPr>
          <w:rFonts w:eastAsia="Times New Roman" w:cstheme="minorHAnsi"/>
          <w:lang w:val="en-GB" w:eastAsia="en-GB"/>
        </w:rPr>
      </w:pPr>
    </w:p>
    <w:p w14:paraId="11C5B006" w14:textId="05E65FFA" w:rsidR="00605862" w:rsidRDefault="00605862" w:rsidP="00AC2342">
      <w:pPr>
        <w:spacing w:after="0" w:line="240" w:lineRule="auto"/>
        <w:jc w:val="both"/>
        <w:textAlignment w:val="baseline"/>
        <w:rPr>
          <w:rFonts w:eastAsia="Times New Roman" w:cstheme="minorHAnsi"/>
          <w:lang w:val="en-GB" w:eastAsia="en-GB"/>
        </w:rPr>
      </w:pPr>
      <w:r>
        <w:rPr>
          <w:rFonts w:eastAsia="Times New Roman" w:cstheme="minorHAnsi"/>
          <w:lang w:val="en-GB" w:eastAsia="en-GB"/>
        </w:rPr>
        <w:t xml:space="preserve">It may also be useful to consider principles (building on the CRPD principles and views of the Committee) and clear statements of policy direction that should underpin efforts towards ensuring community inclusion, for example as found in some national-level initiatives such as </w:t>
      </w:r>
      <w:hyperlink r:id="rId11" w:history="1">
        <w:r w:rsidRPr="00D87FF5">
          <w:rPr>
            <w:rStyle w:val="Hyperlink"/>
            <w:rFonts w:eastAsia="Times New Roman" w:cstheme="minorHAnsi"/>
            <w:lang w:val="en-GB" w:eastAsia="en-GB"/>
          </w:rPr>
          <w:t>‘Enabling good lives’</w:t>
        </w:r>
      </w:hyperlink>
      <w:r>
        <w:rPr>
          <w:rFonts w:eastAsia="Times New Roman" w:cstheme="minorHAnsi"/>
          <w:lang w:val="en-GB" w:eastAsia="en-GB"/>
        </w:rPr>
        <w:t xml:space="preserve">. </w:t>
      </w:r>
    </w:p>
    <w:p w14:paraId="662B78CD" w14:textId="77777777" w:rsidR="00605862" w:rsidRDefault="00605862" w:rsidP="00AC2342">
      <w:pPr>
        <w:spacing w:after="0" w:line="240" w:lineRule="auto"/>
        <w:jc w:val="both"/>
        <w:textAlignment w:val="baseline"/>
        <w:rPr>
          <w:rFonts w:eastAsia="Times New Roman" w:cstheme="minorHAnsi"/>
          <w:lang w:val="en-GB" w:eastAsia="en-GB"/>
        </w:rPr>
      </w:pPr>
    </w:p>
    <w:p w14:paraId="55A4D754" w14:textId="13274FC2" w:rsidR="004F3AB0" w:rsidRDefault="004F3AB0" w:rsidP="00AC2342">
      <w:pPr>
        <w:spacing w:after="0" w:line="240" w:lineRule="auto"/>
        <w:jc w:val="both"/>
        <w:textAlignment w:val="baseline"/>
        <w:rPr>
          <w:rFonts w:eastAsia="Times New Roman" w:cstheme="minorHAnsi"/>
          <w:lang w:val="en-GB" w:eastAsia="en-GB"/>
        </w:rPr>
      </w:pPr>
      <w:r>
        <w:rPr>
          <w:rFonts w:eastAsia="Times New Roman" w:cstheme="minorHAnsi"/>
          <w:lang w:val="en-GB" w:eastAsia="en-GB"/>
        </w:rPr>
        <w:t>The International Disability Alliance takes this opportunity to express our appreciation for OHCHR’s work</w:t>
      </w:r>
      <w:r w:rsidR="00AC2342">
        <w:rPr>
          <w:rFonts w:eastAsia="Times New Roman" w:cstheme="minorHAnsi"/>
          <w:lang w:val="en-GB" w:eastAsia="en-GB"/>
        </w:rPr>
        <w:t xml:space="preserve"> on the rights of persons with disabilities. We </w:t>
      </w:r>
      <w:r>
        <w:rPr>
          <w:rFonts w:eastAsia="Times New Roman" w:cstheme="minorHAnsi"/>
          <w:lang w:val="en-GB" w:eastAsia="en-GB"/>
        </w:rPr>
        <w:t xml:space="preserve">reiterate the </w:t>
      </w:r>
      <w:r w:rsidR="00254E0B">
        <w:rPr>
          <w:rFonts w:eastAsia="Times New Roman" w:cstheme="minorHAnsi"/>
          <w:lang w:val="en-GB" w:eastAsia="en-GB"/>
        </w:rPr>
        <w:t>need for</w:t>
      </w:r>
      <w:r>
        <w:rPr>
          <w:rFonts w:eastAsia="Times New Roman" w:cstheme="minorHAnsi"/>
          <w:lang w:val="en-GB" w:eastAsia="en-GB"/>
        </w:rPr>
        <w:t xml:space="preserve"> consultations with Organizations of Persons with Disabilities to develop a detailed</w:t>
      </w:r>
      <w:r w:rsidR="00D8173A">
        <w:rPr>
          <w:rFonts w:eastAsia="Times New Roman" w:cstheme="minorHAnsi"/>
          <w:lang w:val="en-GB" w:eastAsia="en-GB"/>
        </w:rPr>
        <w:t xml:space="preserve"> and evidence-based</w:t>
      </w:r>
      <w:r>
        <w:rPr>
          <w:rFonts w:eastAsia="Times New Roman" w:cstheme="minorHAnsi"/>
          <w:lang w:val="en-GB" w:eastAsia="en-GB"/>
        </w:rPr>
        <w:t xml:space="preserve"> </w:t>
      </w:r>
      <w:r w:rsidR="00D8173A">
        <w:rPr>
          <w:rFonts w:eastAsia="Times New Roman" w:cstheme="minorHAnsi"/>
          <w:lang w:val="en-GB" w:eastAsia="en-GB"/>
        </w:rPr>
        <w:t xml:space="preserve">understanding </w:t>
      </w:r>
      <w:r w:rsidR="00AC2342">
        <w:rPr>
          <w:rFonts w:eastAsia="Times New Roman" w:cstheme="minorHAnsi"/>
          <w:lang w:val="en-GB" w:eastAsia="en-GB"/>
        </w:rPr>
        <w:t xml:space="preserve">of the </w:t>
      </w:r>
      <w:r w:rsidR="00D8173A">
        <w:rPr>
          <w:rFonts w:eastAsia="Times New Roman" w:cstheme="minorHAnsi"/>
          <w:lang w:val="en-GB" w:eastAsia="en-GB"/>
        </w:rPr>
        <w:t>demand side of support systems to ensure community inclusion from the perspective of persons with disabilities</w:t>
      </w:r>
      <w:r w:rsidR="00254E0B">
        <w:rPr>
          <w:rFonts w:eastAsia="Times New Roman" w:cstheme="minorHAnsi"/>
          <w:lang w:val="en-GB" w:eastAsia="en-GB"/>
        </w:rPr>
        <w:t xml:space="preserve">, and we hope to take a leading role in this important work. </w:t>
      </w:r>
    </w:p>
    <w:p w14:paraId="0AD43141" w14:textId="77777777" w:rsidR="004F3AB0" w:rsidRDefault="004F3AB0" w:rsidP="00586B00">
      <w:pPr>
        <w:spacing w:after="0" w:line="240" w:lineRule="auto"/>
        <w:ind w:left="360"/>
        <w:jc w:val="both"/>
        <w:textAlignment w:val="baseline"/>
        <w:rPr>
          <w:rFonts w:eastAsia="Times New Roman" w:cstheme="minorHAnsi"/>
          <w:lang w:val="en-GB" w:eastAsia="en-GB"/>
        </w:rPr>
      </w:pPr>
    </w:p>
    <w:p w14:paraId="21086F0F" w14:textId="5B9949D2" w:rsidR="004F3AB0" w:rsidRDefault="004F3AB0" w:rsidP="00586B00">
      <w:pPr>
        <w:spacing w:after="0" w:line="240" w:lineRule="auto"/>
        <w:ind w:left="360"/>
        <w:jc w:val="both"/>
        <w:textAlignment w:val="baseline"/>
        <w:rPr>
          <w:rFonts w:eastAsia="Times New Roman" w:cstheme="minorHAnsi"/>
          <w:lang w:val="en-GB" w:eastAsia="en-GB"/>
        </w:rPr>
      </w:pPr>
    </w:p>
    <w:p w14:paraId="67967B95" w14:textId="6BC63241" w:rsidR="004F3AB0" w:rsidRDefault="004F3AB0" w:rsidP="004F3AB0">
      <w:pPr>
        <w:jc w:val="both"/>
        <w:rPr>
          <w:lang w:val="en-GB"/>
        </w:rPr>
      </w:pPr>
      <w:r>
        <w:rPr>
          <w:noProof/>
          <w:lang w:val="en-GB" w:eastAsia="en-GB"/>
        </w:rPr>
        <w:drawing>
          <wp:inline distT="0" distB="0" distL="0" distR="0" wp14:anchorId="2ABE74E0" wp14:editId="3668C123">
            <wp:extent cx="19812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742950"/>
                    </a:xfrm>
                    <a:prstGeom prst="rect">
                      <a:avLst/>
                    </a:prstGeom>
                    <a:noFill/>
                    <a:ln>
                      <a:noFill/>
                    </a:ln>
                  </pic:spPr>
                </pic:pic>
              </a:graphicData>
            </a:graphic>
          </wp:inline>
        </w:drawing>
      </w:r>
    </w:p>
    <w:p w14:paraId="130FF00A" w14:textId="77777777" w:rsidR="004F3AB0" w:rsidRDefault="004F3AB0" w:rsidP="004F3AB0">
      <w:pPr>
        <w:jc w:val="both"/>
        <w:rPr>
          <w:rFonts w:eastAsiaTheme="minorEastAsia"/>
          <w:noProof/>
        </w:rPr>
      </w:pPr>
      <w:r>
        <w:rPr>
          <w:rFonts w:eastAsiaTheme="minorEastAsia"/>
          <w:noProof/>
        </w:rPr>
        <w:t>Yannis Vardakastanis</w:t>
      </w:r>
    </w:p>
    <w:p w14:paraId="657876D0" w14:textId="77777777" w:rsidR="004F3AB0" w:rsidRDefault="004F3AB0" w:rsidP="004F3AB0">
      <w:pPr>
        <w:jc w:val="both"/>
        <w:rPr>
          <w:rFonts w:eastAsiaTheme="minorEastAsia"/>
          <w:noProof/>
        </w:rPr>
      </w:pPr>
      <w:r>
        <w:rPr>
          <w:rFonts w:eastAsiaTheme="minorEastAsia"/>
          <w:noProof/>
        </w:rPr>
        <w:t xml:space="preserve">President, International Disability Alliance </w:t>
      </w:r>
    </w:p>
    <w:p w14:paraId="22B1EB8C" w14:textId="77777777" w:rsidR="004F3AB0" w:rsidRDefault="004F3AB0" w:rsidP="00586B00">
      <w:pPr>
        <w:spacing w:after="0" w:line="240" w:lineRule="auto"/>
        <w:ind w:left="360"/>
        <w:jc w:val="both"/>
        <w:textAlignment w:val="baseline"/>
        <w:rPr>
          <w:rFonts w:eastAsia="Times New Roman" w:cstheme="minorHAnsi"/>
          <w:lang w:val="en-GB" w:eastAsia="en-GB"/>
        </w:rPr>
      </w:pPr>
    </w:p>
    <w:sectPr w:rsidR="004F3AB0" w:rsidSect="00704DD6">
      <w:headerReference w:type="default" r:id="rId13"/>
      <w:head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12505" w14:textId="77777777" w:rsidR="00003BEA" w:rsidRDefault="00003BEA" w:rsidP="00D106B4">
      <w:pPr>
        <w:spacing w:after="0" w:line="240" w:lineRule="auto"/>
      </w:pPr>
      <w:r>
        <w:separator/>
      </w:r>
    </w:p>
  </w:endnote>
  <w:endnote w:type="continuationSeparator" w:id="0">
    <w:p w14:paraId="293FF7D6" w14:textId="77777777" w:rsidR="00003BEA" w:rsidRDefault="00003BEA" w:rsidP="00D1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5292E" w14:textId="77777777" w:rsidR="00003BEA" w:rsidRDefault="00003BEA" w:rsidP="00D106B4">
      <w:pPr>
        <w:spacing w:after="0" w:line="240" w:lineRule="auto"/>
      </w:pPr>
      <w:r>
        <w:separator/>
      </w:r>
    </w:p>
  </w:footnote>
  <w:footnote w:type="continuationSeparator" w:id="0">
    <w:p w14:paraId="1FF14A07" w14:textId="77777777" w:rsidR="00003BEA" w:rsidRDefault="00003BEA" w:rsidP="00D10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6119" w14:textId="77777777" w:rsidR="00D106B4" w:rsidRDefault="00D106B4" w:rsidP="00D106B4">
    <w:pPr>
      <w:pStyle w:val="Header"/>
    </w:pPr>
  </w:p>
  <w:p w14:paraId="1AB79353" w14:textId="77777777" w:rsidR="00D106B4" w:rsidRDefault="00D10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B067" w14:textId="77777777" w:rsidR="00704DD6" w:rsidRDefault="00704DD6" w:rsidP="00704DD6">
    <w:pPr>
      <w:pStyle w:val="Footer"/>
      <w:tabs>
        <w:tab w:val="right" w:pos="8931"/>
      </w:tabs>
      <w:ind w:left="-426" w:right="-334"/>
      <w:jc w:val="center"/>
      <w:rPr>
        <w:rFonts w:ascii="Arial" w:hAnsi="Arial" w:cs="Arial"/>
        <w:color w:val="2E52A3"/>
        <w:sz w:val="24"/>
        <w:szCs w:val="24"/>
      </w:rPr>
    </w:pPr>
    <w:r>
      <w:rPr>
        <w:rFonts w:ascii="Arial" w:hAnsi="Arial" w:cs="Arial"/>
        <w:color w:val="2E52A3"/>
        <w:sz w:val="24"/>
        <w:szCs w:val="24"/>
      </w:rPr>
      <w:t>African Disability Forum, Arab Organization of Persons with Disabilities, ASEAN Disability Forum, Down Syndrome International, European Disability Forum, Inclusion International,</w:t>
    </w:r>
  </w:p>
  <w:p w14:paraId="6AA22B78" w14:textId="77777777" w:rsidR="00704DD6" w:rsidRDefault="00704DD6" w:rsidP="00704DD6">
    <w:pPr>
      <w:pStyle w:val="Footer"/>
      <w:tabs>
        <w:tab w:val="right" w:pos="8931"/>
      </w:tabs>
      <w:ind w:left="-426" w:right="-334"/>
      <w:jc w:val="center"/>
      <w:rPr>
        <w:rFonts w:ascii="Arial" w:hAnsi="Arial" w:cs="Arial"/>
        <w:color w:val="2E52A3"/>
        <w:sz w:val="24"/>
        <w:szCs w:val="24"/>
      </w:rPr>
    </w:pPr>
    <w:r>
      <w:rPr>
        <w:rFonts w:ascii="Arial" w:hAnsi="Arial" w:cs="Arial"/>
        <w:color w:val="2E52A3"/>
        <w:sz w:val="24"/>
        <w:szCs w:val="24"/>
      </w:rPr>
      <w:t xml:space="preserve">International Federation of Hard of Hearing People, </w:t>
    </w:r>
    <w:r>
      <w:rPr>
        <w:rFonts w:ascii="Arial" w:hAnsi="Arial" w:cs="Arial"/>
        <w:bCs/>
        <w:color w:val="2E52A3"/>
        <w:sz w:val="24"/>
        <w:szCs w:val="24"/>
      </w:rPr>
      <w:t>International Federation for Spina Bifida and Hydrocephalus</w:t>
    </w:r>
    <w:r>
      <w:rPr>
        <w:rFonts w:ascii="Arial" w:hAnsi="Arial" w:cs="Arial"/>
        <w:color w:val="2E52A3"/>
        <w:sz w:val="24"/>
        <w:szCs w:val="24"/>
      </w:rPr>
      <w:t>, Latin American Network of Non-Governmental Organizations of Persons with Disabilities and their Families, Pacific Disability Forum, World Blind Union, World Federation of the Deaf, World Federation of the DeafBlind, World Network of Users and Survivors of Psychiatry</w:t>
    </w:r>
  </w:p>
  <w:p w14:paraId="6A6A8271" w14:textId="77777777" w:rsidR="00704DD6" w:rsidRDefault="00704DD6" w:rsidP="00704DD6">
    <w:pPr>
      <w:tabs>
        <w:tab w:val="right" w:pos="8931"/>
      </w:tabs>
      <w:ind w:left="-426" w:right="-334"/>
      <w:jc w:val="right"/>
      <w:rPr>
        <w:rFonts w:ascii="Arial" w:hAnsi="Arial" w:cs="Arial"/>
        <w:color w:val="808080" w:themeColor="background1" w:themeShade="80"/>
        <w:sz w:val="18"/>
        <w:szCs w:val="28"/>
      </w:rPr>
    </w:pPr>
    <w:r>
      <w:rPr>
        <w:rFonts w:ascii="Calibri" w:hAnsi="Calibri" w:cs="Times New Roman"/>
        <w:noProof/>
        <w:lang w:val="en-GB" w:eastAsia="en-GB"/>
      </w:rPr>
      <w:drawing>
        <wp:anchor distT="0" distB="0" distL="114300" distR="114300" simplePos="0" relativeHeight="251659264" behindDoc="1" locked="0" layoutInCell="1" allowOverlap="1" wp14:anchorId="15CE73C8" wp14:editId="2C3C6D84">
          <wp:simplePos x="0" y="0"/>
          <wp:positionH relativeFrom="column">
            <wp:posOffset>-314325</wp:posOffset>
          </wp:positionH>
          <wp:positionV relativeFrom="paragraph">
            <wp:posOffset>142240</wp:posOffset>
          </wp:positionV>
          <wp:extent cx="2428875" cy="1219200"/>
          <wp:effectExtent l="0" t="0" r="0" b="0"/>
          <wp:wrapTight wrapText="bothSides">
            <wp:wrapPolygon edited="0">
              <wp:start x="5082" y="4725"/>
              <wp:lineTo x="3727" y="6075"/>
              <wp:lineTo x="2372" y="9113"/>
              <wp:lineTo x="2372" y="13838"/>
              <wp:lineTo x="3219" y="15863"/>
              <wp:lineTo x="4405" y="16538"/>
              <wp:lineTo x="14739" y="16538"/>
              <wp:lineTo x="19313" y="15863"/>
              <wp:lineTo x="18635" y="11475"/>
              <wp:lineTo x="14908" y="10800"/>
              <wp:lineTo x="14739" y="5738"/>
              <wp:lineTo x="6438" y="4725"/>
              <wp:lineTo x="5082" y="4725"/>
            </wp:wrapPolygon>
          </wp:wrapTight>
          <wp:docPr id="3" name="Graphic 3"/>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428875" cy="1219200"/>
                  </a:xfrm>
                  <a:prstGeom prst="rect">
                    <a:avLst/>
                  </a:prstGeom>
                </pic:spPr>
              </pic:pic>
            </a:graphicData>
          </a:graphic>
          <wp14:sizeRelH relativeFrom="margin">
            <wp14:pctWidth>0</wp14:pctWidth>
          </wp14:sizeRelH>
          <wp14:sizeRelV relativeFrom="margin">
            <wp14:pctHeight>0</wp14:pctHeight>
          </wp14:sizeRelV>
        </wp:anchor>
      </w:drawing>
    </w:r>
  </w:p>
  <w:p w14:paraId="131B1FD1" w14:textId="77777777" w:rsidR="00704DD6" w:rsidRDefault="00704DD6" w:rsidP="00704DD6">
    <w:pPr>
      <w:spacing w:after="0" w:line="240" w:lineRule="auto"/>
      <w:jc w:val="right"/>
      <w:rPr>
        <w:rFonts w:ascii="Arial" w:hAnsi="Arial" w:cs="Arial"/>
        <w:color w:val="808080" w:themeColor="background1" w:themeShade="80"/>
        <w:sz w:val="18"/>
        <w:szCs w:val="28"/>
      </w:rPr>
    </w:pPr>
    <w:r>
      <w:rPr>
        <w:rFonts w:ascii="Arial" w:hAnsi="Arial" w:cs="Arial"/>
        <w:color w:val="808080" w:themeColor="background1" w:themeShade="80"/>
        <w:sz w:val="18"/>
        <w:szCs w:val="28"/>
      </w:rPr>
      <w:t>International Disability Alliance</w:t>
    </w:r>
  </w:p>
  <w:p w14:paraId="12A04495" w14:textId="77777777" w:rsidR="00704DD6" w:rsidRDefault="00704DD6" w:rsidP="00704DD6">
    <w:pPr>
      <w:spacing w:after="0" w:line="240" w:lineRule="auto"/>
      <w:jc w:val="right"/>
      <w:rPr>
        <w:rFonts w:ascii="Arial" w:hAnsi="Arial" w:cs="Arial"/>
        <w:color w:val="808080" w:themeColor="background1" w:themeShade="80"/>
        <w:sz w:val="18"/>
        <w:szCs w:val="28"/>
      </w:rPr>
    </w:pPr>
    <w:r>
      <w:rPr>
        <w:rFonts w:ascii="Arial" w:hAnsi="Arial" w:cs="Arial"/>
        <w:color w:val="808080" w:themeColor="background1" w:themeShade="80"/>
        <w:sz w:val="18"/>
        <w:szCs w:val="28"/>
      </w:rPr>
      <w:t>150 route de Ferney, PO Box 2100</w:t>
    </w:r>
  </w:p>
  <w:p w14:paraId="2973CFB0" w14:textId="77777777" w:rsidR="00704DD6" w:rsidRDefault="00704DD6" w:rsidP="00704DD6">
    <w:pPr>
      <w:spacing w:after="0" w:line="240" w:lineRule="auto"/>
      <w:jc w:val="right"/>
      <w:rPr>
        <w:rFonts w:ascii="Arial" w:hAnsi="Arial" w:cs="Arial"/>
        <w:color w:val="808080" w:themeColor="background1" w:themeShade="80"/>
        <w:sz w:val="18"/>
        <w:szCs w:val="28"/>
      </w:rPr>
    </w:pPr>
    <w:r>
      <w:rPr>
        <w:rFonts w:ascii="Arial" w:hAnsi="Arial" w:cs="Arial"/>
        <w:color w:val="808080" w:themeColor="background1" w:themeShade="80"/>
        <w:sz w:val="18"/>
        <w:szCs w:val="28"/>
      </w:rPr>
      <w:t>CH 1211 Geneva 2, Switzerland</w:t>
    </w:r>
  </w:p>
  <w:p w14:paraId="5AF35852" w14:textId="77777777" w:rsidR="00704DD6" w:rsidRDefault="00704DD6" w:rsidP="00704DD6">
    <w:pPr>
      <w:spacing w:after="0" w:line="240" w:lineRule="auto"/>
      <w:jc w:val="right"/>
      <w:rPr>
        <w:rFonts w:ascii="Arial" w:hAnsi="Arial" w:cs="Arial"/>
        <w:color w:val="808080" w:themeColor="background1" w:themeShade="80"/>
        <w:sz w:val="18"/>
        <w:szCs w:val="28"/>
      </w:rPr>
    </w:pPr>
    <w:r>
      <w:rPr>
        <w:rFonts w:ascii="Arial" w:hAnsi="Arial" w:cs="Arial"/>
        <w:color w:val="808080" w:themeColor="background1" w:themeShade="80"/>
        <w:sz w:val="18"/>
        <w:szCs w:val="28"/>
      </w:rPr>
      <w:t>+41 22 788 42 73</w:t>
    </w:r>
  </w:p>
  <w:p w14:paraId="44902345" w14:textId="77777777" w:rsidR="00704DD6" w:rsidRDefault="00704DD6" w:rsidP="00704DD6">
    <w:pPr>
      <w:spacing w:after="0" w:line="240" w:lineRule="auto"/>
      <w:jc w:val="right"/>
      <w:rPr>
        <w:rFonts w:ascii="Arial" w:hAnsi="Arial" w:cs="Arial"/>
        <w:color w:val="808080" w:themeColor="background1" w:themeShade="80"/>
        <w:sz w:val="18"/>
        <w:szCs w:val="28"/>
      </w:rPr>
    </w:pPr>
    <w:r>
      <w:rPr>
        <w:rFonts w:ascii="Arial" w:hAnsi="Arial" w:cs="Arial"/>
        <w:color w:val="808080" w:themeColor="background1" w:themeShade="80"/>
        <w:sz w:val="18"/>
        <w:szCs w:val="28"/>
      </w:rPr>
      <w:t>820 2</w:t>
    </w:r>
    <w:r>
      <w:rPr>
        <w:rFonts w:ascii="Arial" w:hAnsi="Arial" w:cs="Arial"/>
        <w:color w:val="808080" w:themeColor="background1" w:themeShade="80"/>
        <w:sz w:val="18"/>
        <w:szCs w:val="28"/>
        <w:vertAlign w:val="superscript"/>
      </w:rPr>
      <w:t>nd</w:t>
    </w:r>
    <w:r>
      <w:rPr>
        <w:rFonts w:ascii="Arial" w:hAnsi="Arial" w:cs="Arial"/>
        <w:color w:val="808080" w:themeColor="background1" w:themeShade="80"/>
        <w:sz w:val="18"/>
        <w:szCs w:val="28"/>
      </w:rPr>
      <w:t xml:space="preserve"> Ave., 7B</w:t>
    </w:r>
  </w:p>
  <w:p w14:paraId="68A5F3F7" w14:textId="77777777" w:rsidR="00704DD6" w:rsidRDefault="00704DD6" w:rsidP="00704DD6">
    <w:pPr>
      <w:spacing w:after="0" w:line="240" w:lineRule="auto"/>
      <w:jc w:val="right"/>
      <w:rPr>
        <w:rFonts w:ascii="Arial" w:hAnsi="Arial" w:cs="Arial"/>
        <w:color w:val="808080" w:themeColor="background1" w:themeShade="80"/>
        <w:sz w:val="18"/>
        <w:szCs w:val="28"/>
      </w:rPr>
    </w:pPr>
    <w:r>
      <w:rPr>
        <w:rFonts w:ascii="Arial" w:hAnsi="Arial" w:cs="Arial"/>
        <w:color w:val="808080" w:themeColor="background1" w:themeShade="80"/>
        <w:sz w:val="18"/>
        <w:szCs w:val="28"/>
      </w:rPr>
      <w:t>New York, NY 10017, USA</w:t>
    </w:r>
  </w:p>
  <w:p w14:paraId="418D4C22" w14:textId="77777777" w:rsidR="00704DD6" w:rsidRDefault="00704DD6" w:rsidP="00704DD6">
    <w:pPr>
      <w:spacing w:after="0" w:line="240" w:lineRule="auto"/>
      <w:jc w:val="right"/>
      <w:rPr>
        <w:rFonts w:ascii="Arial" w:hAnsi="Arial" w:cs="Arial"/>
        <w:color w:val="808080" w:themeColor="background1" w:themeShade="80"/>
        <w:sz w:val="18"/>
        <w:szCs w:val="28"/>
      </w:rPr>
    </w:pPr>
    <w:r>
      <w:rPr>
        <w:rFonts w:ascii="Arial" w:hAnsi="Arial" w:cs="Arial"/>
        <w:color w:val="808080" w:themeColor="background1" w:themeShade="80"/>
        <w:sz w:val="18"/>
        <w:szCs w:val="28"/>
      </w:rPr>
      <w:t>+1 6467760822</w:t>
    </w:r>
  </w:p>
  <w:p w14:paraId="64AE826D" w14:textId="77777777" w:rsidR="00704DD6" w:rsidRDefault="00704DD6" w:rsidP="00704DD6">
    <w:pPr>
      <w:spacing w:after="0" w:line="240" w:lineRule="auto"/>
      <w:jc w:val="right"/>
      <w:rPr>
        <w:rFonts w:ascii="Arial" w:hAnsi="Arial" w:cs="Arial"/>
        <w:color w:val="808080" w:themeColor="background1" w:themeShade="80"/>
        <w:sz w:val="18"/>
        <w:szCs w:val="28"/>
      </w:rPr>
    </w:pPr>
    <w:r>
      <w:rPr>
        <w:rFonts w:ascii="Arial" w:hAnsi="Arial" w:cs="Arial"/>
        <w:color w:val="808080" w:themeColor="background1" w:themeShade="80"/>
        <w:sz w:val="18"/>
        <w:szCs w:val="28"/>
      </w:rPr>
      <w:t>vcuk@ida-secretariat.org</w:t>
    </w:r>
    <w:r>
      <w:rPr>
        <w:rFonts w:ascii="Arial" w:hAnsi="Arial" w:cs="Arial"/>
        <w:color w:val="808080" w:themeColor="background1" w:themeShade="80"/>
        <w:sz w:val="18"/>
        <w:szCs w:val="28"/>
      </w:rPr>
      <w:br/>
      <w:t>www.internationaldisabilityalliance.org</w:t>
    </w:r>
  </w:p>
  <w:p w14:paraId="65F0BDED" w14:textId="77777777" w:rsidR="00704DD6" w:rsidRDefault="00704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6D6"/>
    <w:multiLevelType w:val="hybridMultilevel"/>
    <w:tmpl w:val="C9D6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1425A"/>
    <w:multiLevelType w:val="multilevel"/>
    <w:tmpl w:val="620E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92F0C"/>
    <w:multiLevelType w:val="multilevel"/>
    <w:tmpl w:val="2EA6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873DC"/>
    <w:multiLevelType w:val="multilevel"/>
    <w:tmpl w:val="03067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6A4983"/>
    <w:multiLevelType w:val="multilevel"/>
    <w:tmpl w:val="CDA86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EA36AF"/>
    <w:multiLevelType w:val="multilevel"/>
    <w:tmpl w:val="1EE6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795EA6"/>
    <w:multiLevelType w:val="hybridMultilevel"/>
    <w:tmpl w:val="743A6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D676E"/>
    <w:multiLevelType w:val="hybridMultilevel"/>
    <w:tmpl w:val="EE12DEB0"/>
    <w:lvl w:ilvl="0" w:tplc="99CEF2B0">
      <w:start w:val="6"/>
      <w:numFmt w:val="bullet"/>
      <w:lvlText w:val="-"/>
      <w:lvlJc w:val="left"/>
      <w:pPr>
        <w:ind w:left="720" w:hanging="360"/>
      </w:pPr>
      <w:rPr>
        <w:rFonts w:ascii="Calibri" w:eastAsia="Calibri" w:hAnsi="Calibri" w:cs="Calibri"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51DE0"/>
    <w:multiLevelType w:val="multilevel"/>
    <w:tmpl w:val="B0BEF0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1"/>
  </w:num>
  <w:num w:numId="5">
    <w:abstractNumId w:val="3"/>
    <w:lvlOverride w:ilvl="0">
      <w:lvl w:ilvl="0">
        <w:numFmt w:val="decimal"/>
        <w:lvlText w:val="%1."/>
        <w:lvlJc w:val="left"/>
      </w:lvl>
    </w:lvlOverride>
  </w:num>
  <w:num w:numId="6">
    <w:abstractNumId w:val="8"/>
    <w:lvlOverride w:ilvl="0">
      <w:lvl w:ilvl="0">
        <w:numFmt w:val="decimal"/>
        <w:lvlText w:val="%1."/>
        <w:lvlJc w:val="left"/>
      </w:lvl>
    </w:lvlOverride>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E8"/>
    <w:rsid w:val="00003BEA"/>
    <w:rsid w:val="00005814"/>
    <w:rsid w:val="00057C11"/>
    <w:rsid w:val="000A34F6"/>
    <w:rsid w:val="000A605E"/>
    <w:rsid w:val="00130C3E"/>
    <w:rsid w:val="00133DDB"/>
    <w:rsid w:val="001B4C59"/>
    <w:rsid w:val="00243422"/>
    <w:rsid w:val="00254E0B"/>
    <w:rsid w:val="0027114D"/>
    <w:rsid w:val="002B435F"/>
    <w:rsid w:val="002C7CCE"/>
    <w:rsid w:val="003162E4"/>
    <w:rsid w:val="00371AD7"/>
    <w:rsid w:val="0044675A"/>
    <w:rsid w:val="00453265"/>
    <w:rsid w:val="004E4C8E"/>
    <w:rsid w:val="004F3AB0"/>
    <w:rsid w:val="00506645"/>
    <w:rsid w:val="0053697B"/>
    <w:rsid w:val="0058531D"/>
    <w:rsid w:val="00586B00"/>
    <w:rsid w:val="005969AC"/>
    <w:rsid w:val="005C6B91"/>
    <w:rsid w:val="00605862"/>
    <w:rsid w:val="006A671D"/>
    <w:rsid w:val="006C4B3A"/>
    <w:rsid w:val="00704DD6"/>
    <w:rsid w:val="00707C73"/>
    <w:rsid w:val="007127BC"/>
    <w:rsid w:val="007E4B2D"/>
    <w:rsid w:val="007F670D"/>
    <w:rsid w:val="0080380E"/>
    <w:rsid w:val="00901660"/>
    <w:rsid w:val="00907CBB"/>
    <w:rsid w:val="0096571A"/>
    <w:rsid w:val="00991E9F"/>
    <w:rsid w:val="009F3153"/>
    <w:rsid w:val="00A4171F"/>
    <w:rsid w:val="00A83EBC"/>
    <w:rsid w:val="00AA63E8"/>
    <w:rsid w:val="00AB184D"/>
    <w:rsid w:val="00AC2342"/>
    <w:rsid w:val="00BE7C57"/>
    <w:rsid w:val="00C071A0"/>
    <w:rsid w:val="00C1255E"/>
    <w:rsid w:val="00C1638F"/>
    <w:rsid w:val="00C65B54"/>
    <w:rsid w:val="00C9112C"/>
    <w:rsid w:val="00CA6B2E"/>
    <w:rsid w:val="00CF5930"/>
    <w:rsid w:val="00D106B4"/>
    <w:rsid w:val="00D8173A"/>
    <w:rsid w:val="00D87FF5"/>
    <w:rsid w:val="00D955AE"/>
    <w:rsid w:val="00DE67A9"/>
    <w:rsid w:val="00E438F9"/>
    <w:rsid w:val="00E542C1"/>
    <w:rsid w:val="00E7733D"/>
    <w:rsid w:val="00EB30E6"/>
    <w:rsid w:val="00EB4318"/>
    <w:rsid w:val="00EB7B22"/>
    <w:rsid w:val="00EE2B67"/>
    <w:rsid w:val="00F22417"/>
    <w:rsid w:val="00F576CD"/>
    <w:rsid w:val="00F90594"/>
    <w:rsid w:val="00F93502"/>
    <w:rsid w:val="00F95C57"/>
    <w:rsid w:val="00FE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E59F"/>
  <w15:chartTrackingRefBased/>
  <w15:docId w15:val="{A3C164F5-37C8-4724-B9C8-F6E78752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3E8"/>
    <w:rPr>
      <w:lang w:val="en-US"/>
    </w:rPr>
  </w:style>
  <w:style w:type="paragraph" w:styleId="Heading3">
    <w:name w:val="heading 3"/>
    <w:basedOn w:val="Normal"/>
    <w:link w:val="Heading3Char"/>
    <w:uiPriority w:val="9"/>
    <w:qFormat/>
    <w:rsid w:val="00AA63E8"/>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3E8"/>
    <w:pPr>
      <w:spacing w:after="0" w:line="240" w:lineRule="auto"/>
      <w:ind w:left="720"/>
      <w:contextualSpacing/>
    </w:pPr>
    <w:rPr>
      <w:rFonts w:ascii="Calibri" w:eastAsia="Calibri" w:hAnsi="Calibri" w:cs="Calibri"/>
      <w:sz w:val="24"/>
      <w:szCs w:val="24"/>
      <w:lang w:val="en-GB" w:eastAsia="en-GB"/>
    </w:rPr>
  </w:style>
  <w:style w:type="character" w:customStyle="1" w:styleId="Heading3Char">
    <w:name w:val="Heading 3 Char"/>
    <w:basedOn w:val="DefaultParagraphFont"/>
    <w:link w:val="Heading3"/>
    <w:uiPriority w:val="9"/>
    <w:rsid w:val="00AA63E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A63E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A63E8"/>
    <w:rPr>
      <w:color w:val="0000FF"/>
      <w:u w:val="single"/>
    </w:rPr>
  </w:style>
  <w:style w:type="character" w:customStyle="1" w:styleId="UnresolvedMention">
    <w:name w:val="Unresolved Mention"/>
    <w:basedOn w:val="DefaultParagraphFont"/>
    <w:uiPriority w:val="99"/>
    <w:semiHidden/>
    <w:unhideWhenUsed/>
    <w:rsid w:val="00AA63E8"/>
    <w:rPr>
      <w:color w:val="605E5C"/>
      <w:shd w:val="clear" w:color="auto" w:fill="E1DFDD"/>
    </w:rPr>
  </w:style>
  <w:style w:type="paragraph" w:customStyle="1" w:styleId="paragraph">
    <w:name w:val="paragraph"/>
    <w:basedOn w:val="Normal"/>
    <w:rsid w:val="005969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969AC"/>
  </w:style>
  <w:style w:type="character" w:customStyle="1" w:styleId="eop">
    <w:name w:val="eop"/>
    <w:basedOn w:val="DefaultParagraphFont"/>
    <w:rsid w:val="005969AC"/>
  </w:style>
  <w:style w:type="paragraph" w:styleId="Header">
    <w:name w:val="header"/>
    <w:basedOn w:val="Normal"/>
    <w:link w:val="HeaderChar"/>
    <w:uiPriority w:val="99"/>
    <w:unhideWhenUsed/>
    <w:rsid w:val="00D10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6B4"/>
    <w:rPr>
      <w:lang w:val="en-US"/>
    </w:rPr>
  </w:style>
  <w:style w:type="paragraph" w:styleId="Footer">
    <w:name w:val="footer"/>
    <w:basedOn w:val="Normal"/>
    <w:link w:val="FooterChar"/>
    <w:uiPriority w:val="99"/>
    <w:unhideWhenUsed/>
    <w:rsid w:val="00D10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6B4"/>
    <w:rPr>
      <w:lang w:val="en-US"/>
    </w:rPr>
  </w:style>
  <w:style w:type="paragraph" w:styleId="FootnoteText">
    <w:name w:val="footnote text"/>
    <w:basedOn w:val="Normal"/>
    <w:link w:val="FootnoteTextChar"/>
    <w:uiPriority w:val="99"/>
    <w:semiHidden/>
    <w:unhideWhenUsed/>
    <w:rsid w:val="006058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862"/>
    <w:rPr>
      <w:sz w:val="20"/>
      <w:szCs w:val="20"/>
      <w:lang w:val="en-US"/>
    </w:rPr>
  </w:style>
  <w:style w:type="character" w:styleId="FootnoteReference">
    <w:name w:val="footnote reference"/>
    <w:basedOn w:val="DefaultParagraphFont"/>
    <w:uiPriority w:val="99"/>
    <w:semiHidden/>
    <w:unhideWhenUsed/>
    <w:rsid w:val="006058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83187">
      <w:bodyDiv w:val="1"/>
      <w:marLeft w:val="0"/>
      <w:marRight w:val="0"/>
      <w:marTop w:val="0"/>
      <w:marBottom w:val="0"/>
      <w:divBdr>
        <w:top w:val="none" w:sz="0" w:space="0" w:color="auto"/>
        <w:left w:val="none" w:sz="0" w:space="0" w:color="auto"/>
        <w:bottom w:val="none" w:sz="0" w:space="0" w:color="auto"/>
        <w:right w:val="none" w:sz="0" w:space="0" w:color="auto"/>
      </w:divBdr>
    </w:div>
    <w:div w:id="540673578">
      <w:bodyDiv w:val="1"/>
      <w:marLeft w:val="0"/>
      <w:marRight w:val="0"/>
      <w:marTop w:val="0"/>
      <w:marBottom w:val="0"/>
      <w:divBdr>
        <w:top w:val="none" w:sz="0" w:space="0" w:color="auto"/>
        <w:left w:val="none" w:sz="0" w:space="0" w:color="auto"/>
        <w:bottom w:val="none" w:sz="0" w:space="0" w:color="auto"/>
        <w:right w:val="none" w:sz="0" w:space="0" w:color="auto"/>
      </w:divBdr>
    </w:div>
    <w:div w:id="617227081">
      <w:bodyDiv w:val="1"/>
      <w:marLeft w:val="0"/>
      <w:marRight w:val="0"/>
      <w:marTop w:val="0"/>
      <w:marBottom w:val="0"/>
      <w:divBdr>
        <w:top w:val="none" w:sz="0" w:space="0" w:color="auto"/>
        <w:left w:val="none" w:sz="0" w:space="0" w:color="auto"/>
        <w:bottom w:val="none" w:sz="0" w:space="0" w:color="auto"/>
        <w:right w:val="none" w:sz="0" w:space="0" w:color="auto"/>
      </w:divBdr>
    </w:div>
    <w:div w:id="645202056">
      <w:bodyDiv w:val="1"/>
      <w:marLeft w:val="0"/>
      <w:marRight w:val="0"/>
      <w:marTop w:val="0"/>
      <w:marBottom w:val="0"/>
      <w:divBdr>
        <w:top w:val="none" w:sz="0" w:space="0" w:color="auto"/>
        <w:left w:val="none" w:sz="0" w:space="0" w:color="auto"/>
        <w:bottom w:val="none" w:sz="0" w:space="0" w:color="auto"/>
        <w:right w:val="none" w:sz="0" w:space="0" w:color="auto"/>
      </w:divBdr>
    </w:div>
    <w:div w:id="1127820881">
      <w:bodyDiv w:val="1"/>
      <w:marLeft w:val="0"/>
      <w:marRight w:val="0"/>
      <w:marTop w:val="0"/>
      <w:marBottom w:val="0"/>
      <w:divBdr>
        <w:top w:val="none" w:sz="0" w:space="0" w:color="auto"/>
        <w:left w:val="none" w:sz="0" w:space="0" w:color="auto"/>
        <w:bottom w:val="none" w:sz="0" w:space="0" w:color="auto"/>
        <w:right w:val="none" w:sz="0" w:space="0" w:color="auto"/>
      </w:divBdr>
      <w:divsChild>
        <w:div w:id="498618781">
          <w:marLeft w:val="0"/>
          <w:marRight w:val="0"/>
          <w:marTop w:val="0"/>
          <w:marBottom w:val="0"/>
          <w:divBdr>
            <w:top w:val="none" w:sz="0" w:space="0" w:color="auto"/>
            <w:left w:val="none" w:sz="0" w:space="0" w:color="auto"/>
            <w:bottom w:val="none" w:sz="0" w:space="0" w:color="auto"/>
            <w:right w:val="none" w:sz="0" w:space="0" w:color="auto"/>
          </w:divBdr>
        </w:div>
        <w:div w:id="102456544">
          <w:marLeft w:val="0"/>
          <w:marRight w:val="0"/>
          <w:marTop w:val="0"/>
          <w:marBottom w:val="0"/>
          <w:divBdr>
            <w:top w:val="none" w:sz="0" w:space="0" w:color="auto"/>
            <w:left w:val="none" w:sz="0" w:space="0" w:color="auto"/>
            <w:bottom w:val="none" w:sz="0" w:space="0" w:color="auto"/>
            <w:right w:val="none" w:sz="0" w:space="0" w:color="auto"/>
          </w:divBdr>
        </w:div>
        <w:div w:id="371464672">
          <w:marLeft w:val="0"/>
          <w:marRight w:val="0"/>
          <w:marTop w:val="0"/>
          <w:marBottom w:val="0"/>
          <w:divBdr>
            <w:top w:val="none" w:sz="0" w:space="0" w:color="auto"/>
            <w:left w:val="none" w:sz="0" w:space="0" w:color="auto"/>
            <w:bottom w:val="none" w:sz="0" w:space="0" w:color="auto"/>
            <w:right w:val="none" w:sz="0" w:space="0" w:color="auto"/>
          </w:divBdr>
        </w:div>
        <w:div w:id="741610672">
          <w:marLeft w:val="0"/>
          <w:marRight w:val="0"/>
          <w:marTop w:val="0"/>
          <w:marBottom w:val="0"/>
          <w:divBdr>
            <w:top w:val="none" w:sz="0" w:space="0" w:color="auto"/>
            <w:left w:val="none" w:sz="0" w:space="0" w:color="auto"/>
            <w:bottom w:val="none" w:sz="0" w:space="0" w:color="auto"/>
            <w:right w:val="none" w:sz="0" w:space="0" w:color="auto"/>
          </w:divBdr>
        </w:div>
        <w:div w:id="919870901">
          <w:marLeft w:val="0"/>
          <w:marRight w:val="0"/>
          <w:marTop w:val="0"/>
          <w:marBottom w:val="0"/>
          <w:divBdr>
            <w:top w:val="none" w:sz="0" w:space="0" w:color="auto"/>
            <w:left w:val="none" w:sz="0" w:space="0" w:color="auto"/>
            <w:bottom w:val="none" w:sz="0" w:space="0" w:color="auto"/>
            <w:right w:val="none" w:sz="0" w:space="0" w:color="auto"/>
          </w:divBdr>
        </w:div>
        <w:div w:id="924262477">
          <w:marLeft w:val="0"/>
          <w:marRight w:val="0"/>
          <w:marTop w:val="0"/>
          <w:marBottom w:val="0"/>
          <w:divBdr>
            <w:top w:val="none" w:sz="0" w:space="0" w:color="auto"/>
            <w:left w:val="none" w:sz="0" w:space="0" w:color="auto"/>
            <w:bottom w:val="none" w:sz="0" w:space="0" w:color="auto"/>
            <w:right w:val="none" w:sz="0" w:space="0" w:color="auto"/>
          </w:divBdr>
        </w:div>
        <w:div w:id="693114834">
          <w:marLeft w:val="0"/>
          <w:marRight w:val="0"/>
          <w:marTop w:val="0"/>
          <w:marBottom w:val="0"/>
          <w:divBdr>
            <w:top w:val="none" w:sz="0" w:space="0" w:color="auto"/>
            <w:left w:val="none" w:sz="0" w:space="0" w:color="auto"/>
            <w:bottom w:val="none" w:sz="0" w:space="0" w:color="auto"/>
            <w:right w:val="none" w:sz="0" w:space="0" w:color="auto"/>
          </w:divBdr>
        </w:div>
        <w:div w:id="1849251031">
          <w:marLeft w:val="0"/>
          <w:marRight w:val="0"/>
          <w:marTop w:val="0"/>
          <w:marBottom w:val="0"/>
          <w:divBdr>
            <w:top w:val="none" w:sz="0" w:space="0" w:color="auto"/>
            <w:left w:val="none" w:sz="0" w:space="0" w:color="auto"/>
            <w:bottom w:val="none" w:sz="0" w:space="0" w:color="auto"/>
            <w:right w:val="none" w:sz="0" w:space="0" w:color="auto"/>
          </w:divBdr>
        </w:div>
        <w:div w:id="1429734916">
          <w:marLeft w:val="0"/>
          <w:marRight w:val="0"/>
          <w:marTop w:val="0"/>
          <w:marBottom w:val="0"/>
          <w:divBdr>
            <w:top w:val="none" w:sz="0" w:space="0" w:color="auto"/>
            <w:left w:val="none" w:sz="0" w:space="0" w:color="auto"/>
            <w:bottom w:val="none" w:sz="0" w:space="0" w:color="auto"/>
            <w:right w:val="none" w:sz="0" w:space="0" w:color="auto"/>
          </w:divBdr>
        </w:div>
        <w:div w:id="1500657831">
          <w:marLeft w:val="0"/>
          <w:marRight w:val="0"/>
          <w:marTop w:val="0"/>
          <w:marBottom w:val="0"/>
          <w:divBdr>
            <w:top w:val="none" w:sz="0" w:space="0" w:color="auto"/>
            <w:left w:val="none" w:sz="0" w:space="0" w:color="auto"/>
            <w:bottom w:val="none" w:sz="0" w:space="0" w:color="auto"/>
            <w:right w:val="none" w:sz="0" w:space="0" w:color="auto"/>
          </w:divBdr>
        </w:div>
        <w:div w:id="147523192">
          <w:marLeft w:val="0"/>
          <w:marRight w:val="0"/>
          <w:marTop w:val="0"/>
          <w:marBottom w:val="0"/>
          <w:divBdr>
            <w:top w:val="none" w:sz="0" w:space="0" w:color="auto"/>
            <w:left w:val="none" w:sz="0" w:space="0" w:color="auto"/>
            <w:bottom w:val="none" w:sz="0" w:space="0" w:color="auto"/>
            <w:right w:val="none" w:sz="0" w:space="0" w:color="auto"/>
          </w:divBdr>
        </w:div>
        <w:div w:id="625232607">
          <w:marLeft w:val="0"/>
          <w:marRight w:val="0"/>
          <w:marTop w:val="0"/>
          <w:marBottom w:val="0"/>
          <w:divBdr>
            <w:top w:val="none" w:sz="0" w:space="0" w:color="auto"/>
            <w:left w:val="none" w:sz="0" w:space="0" w:color="auto"/>
            <w:bottom w:val="none" w:sz="0" w:space="0" w:color="auto"/>
            <w:right w:val="none" w:sz="0" w:space="0" w:color="auto"/>
          </w:divBdr>
        </w:div>
        <w:div w:id="1680236747">
          <w:marLeft w:val="0"/>
          <w:marRight w:val="0"/>
          <w:marTop w:val="0"/>
          <w:marBottom w:val="0"/>
          <w:divBdr>
            <w:top w:val="none" w:sz="0" w:space="0" w:color="auto"/>
            <w:left w:val="none" w:sz="0" w:space="0" w:color="auto"/>
            <w:bottom w:val="none" w:sz="0" w:space="0" w:color="auto"/>
            <w:right w:val="none" w:sz="0" w:space="0" w:color="auto"/>
          </w:divBdr>
        </w:div>
        <w:div w:id="1681852091">
          <w:marLeft w:val="0"/>
          <w:marRight w:val="0"/>
          <w:marTop w:val="0"/>
          <w:marBottom w:val="0"/>
          <w:divBdr>
            <w:top w:val="none" w:sz="0" w:space="0" w:color="auto"/>
            <w:left w:val="none" w:sz="0" w:space="0" w:color="auto"/>
            <w:bottom w:val="none" w:sz="0" w:space="0" w:color="auto"/>
            <w:right w:val="none" w:sz="0" w:space="0" w:color="auto"/>
          </w:divBdr>
        </w:div>
        <w:div w:id="966352352">
          <w:marLeft w:val="0"/>
          <w:marRight w:val="0"/>
          <w:marTop w:val="0"/>
          <w:marBottom w:val="0"/>
          <w:divBdr>
            <w:top w:val="none" w:sz="0" w:space="0" w:color="auto"/>
            <w:left w:val="none" w:sz="0" w:space="0" w:color="auto"/>
            <w:bottom w:val="none" w:sz="0" w:space="0" w:color="auto"/>
            <w:right w:val="none" w:sz="0" w:space="0" w:color="auto"/>
          </w:divBdr>
        </w:div>
        <w:div w:id="2122263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blinggoodlives.co.nz/about-egl/egl-approach/princip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6A730-C136-4C67-8241-7E4C21D9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B6841B-C5F5-4E95-B0D9-9E84EE3E5723}">
  <ds:schemaRefs>
    <ds:schemaRef ds:uri="http://schemas.microsoft.com/sharepoint/v3/contenttype/forms"/>
  </ds:schemaRefs>
</ds:datastoreItem>
</file>

<file path=customXml/itemProps3.xml><?xml version="1.0" encoding="utf-8"?>
<ds:datastoreItem xmlns:ds="http://schemas.openxmlformats.org/officeDocument/2006/customXml" ds:itemID="{8420C3E1-3CE6-4942-AC68-78FDA04F8E9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C600359-6596-4C1F-89F0-36DD78E3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Clyne</dc:creator>
  <cp:keywords/>
  <dc:description/>
  <cp:lastModifiedBy>Facundo Chavez Penillas</cp:lastModifiedBy>
  <cp:revision>2</cp:revision>
  <dcterms:created xsi:type="dcterms:W3CDTF">2022-09-09T13:22:00Z</dcterms:created>
  <dcterms:modified xsi:type="dcterms:W3CDTF">2022-09-09T13:22:00Z</dcterms:modified>
</cp:coreProperties>
</file>